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104bis</w:t>
      </w:r>
      <w:r>
        <w:rPr>
          <w:rFonts w:ascii="Arial" w:hAnsi="Arial" w:eastAsia="宋体" w:cs="Arial"/>
          <w:b/>
          <w:color w:val="auto"/>
          <w:sz w:val="24"/>
          <w:lang w:eastAsia="zh-CN"/>
        </w:rPr>
        <w:t>-e</w:t>
      </w:r>
      <w:r>
        <w:rPr>
          <w:rFonts w:ascii="Arial" w:hAnsi="Arial" w:eastAsia="MS Mincho"/>
          <w:b/>
          <w:color w:val="auto"/>
          <w:sz w:val="24"/>
        </w:rPr>
        <w:tab/>
      </w:r>
      <w:r>
        <w:rPr>
          <w:rFonts w:ascii="Arial" w:hAnsi="Arial"/>
          <w:b/>
          <w:color w:val="auto"/>
          <w:sz w:val="24"/>
          <w:lang w:eastAsia="zh-CN"/>
        </w:rPr>
        <w:t>R4-2</w:t>
      </w:r>
      <w:r>
        <w:rPr>
          <w:rFonts w:hint="eastAsia" w:ascii="Arial" w:hAnsi="Arial"/>
          <w:b/>
          <w:color w:val="auto"/>
          <w:sz w:val="24"/>
          <w:lang w:val="en-US" w:eastAsia="zh-CN"/>
        </w:rPr>
        <w:t>216477</w:t>
      </w:r>
      <w:bookmarkStart w:id="1" w:name="_GoBack"/>
      <w:bookmarkEnd w:id="1"/>
    </w:p>
    <w:p>
      <w:pPr>
        <w:tabs>
          <w:tab w:val="left" w:pos="3106"/>
          <w:tab w:val="center" w:pos="4536"/>
          <w:tab w:val="right" w:pos="9072"/>
        </w:tabs>
        <w:jc w:val="both"/>
        <w:rPr>
          <w:rFonts w:ascii="Arial" w:hAnsi="Arial" w:eastAsia="宋体"/>
          <w:b/>
          <w:color w:val="auto"/>
          <w:sz w:val="24"/>
          <w:lang w:val="en-GB" w:eastAsia="zh-CN"/>
        </w:rPr>
      </w:pPr>
      <w:r>
        <w:rPr>
          <w:rFonts w:ascii="Arial" w:hAnsi="Arial" w:eastAsia="宋体"/>
          <w:b/>
          <w:color w:val="auto"/>
          <w:sz w:val="24"/>
          <w:lang w:eastAsia="zh-CN"/>
        </w:rPr>
        <w:t xml:space="preserve">Electronic Meeting, </w:t>
      </w:r>
      <w:r>
        <w:rPr>
          <w:rFonts w:hint="eastAsia" w:ascii="Arial" w:hAnsi="Arial" w:eastAsia="宋体" w:cs="Arial"/>
          <w:b/>
          <w:bCs/>
          <w:sz w:val="24"/>
          <w:szCs w:val="24"/>
          <w:lang w:val="en-US" w:eastAsia="zh-CN"/>
        </w:rPr>
        <w:t xml:space="preserve">10 </w:t>
      </w:r>
      <w:r>
        <w:rPr>
          <w:rFonts w:ascii="Arial" w:hAnsi="Arial" w:cs="Arial"/>
          <w:b/>
          <w:bCs/>
          <w:sz w:val="24"/>
          <w:szCs w:val="24"/>
        </w:rPr>
        <w:t>–</w:t>
      </w:r>
      <w:r>
        <w:rPr>
          <w:rFonts w:hint="eastAsia" w:ascii="Arial" w:hAnsi="Arial" w:eastAsia="宋体" w:cs="Arial"/>
          <w:b/>
          <w:bCs/>
          <w:sz w:val="24"/>
          <w:szCs w:val="24"/>
          <w:lang w:val="en-US" w:eastAsia="zh-CN"/>
        </w:rPr>
        <w:t xml:space="preserve"> 19</w:t>
      </w:r>
      <w:r>
        <w:rPr>
          <w:rFonts w:ascii="Arial" w:hAnsi="Arial" w:cs="Arial"/>
          <w:b/>
          <w:bCs/>
          <w:sz w:val="24"/>
          <w:szCs w:val="24"/>
        </w:rPr>
        <w:t xml:space="preserve"> </w:t>
      </w:r>
      <w:r>
        <w:rPr>
          <w:rFonts w:hint="eastAsia" w:ascii="Arial" w:hAnsi="Arial" w:eastAsia="宋体" w:cs="Arial"/>
          <w:b/>
          <w:bCs/>
          <w:sz w:val="24"/>
          <w:szCs w:val="24"/>
          <w:lang w:val="en-US" w:eastAsia="zh-CN"/>
        </w:rPr>
        <w:t>Oct</w:t>
      </w:r>
      <w:r>
        <w:rPr>
          <w:rFonts w:ascii="Arial" w:hAnsi="Arial" w:eastAsia="宋体"/>
          <w:b/>
          <w:color w:val="auto"/>
          <w:sz w:val="24"/>
          <w:lang w:eastAsia="zh-CN"/>
        </w:rPr>
        <w:t>, 202</w:t>
      </w:r>
      <w:r>
        <w:rPr>
          <w:rFonts w:hint="eastAsia" w:ascii="Arial" w:hAnsi="Arial" w:eastAsia="宋体"/>
          <w:b/>
          <w:color w:val="auto"/>
          <w:sz w:val="24"/>
          <w:lang w:val="en-US" w:eastAsia="zh-CN"/>
        </w:rPr>
        <w:t>2</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4"/>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p>
    <w:p>
      <w:pPr>
        <w:pStyle w:val="14"/>
        <w:tabs>
          <w:tab w:val="left" w:pos="1800"/>
          <w:tab w:val="clear" w:pos="4536"/>
        </w:tabs>
        <w:spacing w:after="60"/>
        <w:ind w:left="1807" w:hanging="1807" w:hangingChars="750"/>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Discussion on TCI state related RRM core requirements for simultaneous DL reception from different directions</w:t>
      </w:r>
    </w:p>
    <w:p>
      <w:pPr>
        <w:pStyle w:val="14"/>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highlight w:val="none"/>
          <w:lang w:val="en-US" w:eastAsia="zh-CN"/>
        </w:rPr>
        <w:t>6.8.3.4</w:t>
      </w:r>
    </w:p>
    <w:p>
      <w:pPr>
        <w:pStyle w:val="14"/>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Approval</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8"/>
        <w:tabs>
          <w:tab w:val="left" w:pos="226"/>
          <w:tab w:val="left" w:pos="284"/>
          <w:tab w:val="left" w:pos="5103"/>
        </w:tabs>
        <w:snapToGrid w:val="0"/>
        <w:spacing w:before="156" w:beforeLines="50"/>
        <w:rPr>
          <w:rFonts w:hint="eastAsia" w:eastAsia="宋体"/>
          <w:lang w:val="en-US" w:eastAsia="zh-CN"/>
        </w:rPr>
      </w:pPr>
      <w:r>
        <w:rPr>
          <w:rFonts w:hint="default" w:eastAsia="宋体"/>
          <w:color w:val="auto"/>
          <w:sz w:val="20"/>
          <w:szCs w:val="20"/>
          <w:lang w:val="en-US" w:eastAsia="zh-CN"/>
        </w:rPr>
        <w:t xml:space="preserve">In </w:t>
      </w:r>
      <w:r>
        <w:rPr>
          <w:rFonts w:hint="eastAsia" w:eastAsia="宋体"/>
          <w:color w:val="auto"/>
          <w:sz w:val="20"/>
          <w:szCs w:val="20"/>
          <w:lang w:val="en-US" w:eastAsia="zh-CN"/>
        </w:rPr>
        <w:t xml:space="preserve">RAN plenary 96 meeting, a revised WID[1] for Rel-18 was approved </w:t>
      </w:r>
      <w:r>
        <w:rPr>
          <w:rFonts w:hint="eastAsia"/>
          <w:lang w:val="en-US" w:eastAsia="zh-CN"/>
        </w:rPr>
        <w:t xml:space="preserve">to identify the requirements to support the </w:t>
      </w:r>
      <w:r>
        <w:rPr>
          <w:lang w:val="en-US"/>
        </w:rPr>
        <w:t>enhanced FR2-1 UEs with simultaneous DL reception from different directions with different QCL TypeD RSs on a single component carrier</w:t>
      </w:r>
      <w:r>
        <w:rPr>
          <w:rFonts w:hint="eastAsia" w:eastAsia="宋体"/>
          <w:lang w:val="en-US" w:eastAsia="zh-CN"/>
        </w:rPr>
        <w:t>. Both RF requirements enhancement and RRM requirements enhancement are involved in the core part. The objective in the WID is as follows:</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numPr>
                <w:ilvl w:val="0"/>
                <w:numId w:val="4"/>
              </w:numPr>
              <w:spacing w:after="0"/>
              <w:rPr>
                <w:lang w:val="en-US"/>
              </w:rPr>
            </w:pPr>
            <w:r>
              <w:rPr>
                <w:lang w:val="en-US"/>
              </w:rPr>
              <w:t xml:space="preserve">Introduce necessary requirement(s) for enhanced FR2-1 UEs with simultaneous DL reception with two different QCL TypeD RSs </w:t>
            </w:r>
            <w:r>
              <w:rPr>
                <w:highlight w:val="none"/>
                <w:lang w:val="en-US"/>
              </w:rPr>
              <w:t>on single component carrier</w:t>
            </w:r>
            <w:r>
              <w:rPr>
                <w:lang w:val="en-US"/>
              </w:rPr>
              <w:t xml:space="preserve"> with up to 4 layer DL MIMO</w:t>
            </w:r>
          </w:p>
          <w:p>
            <w:pPr>
              <w:numPr>
                <w:ilvl w:val="1"/>
                <w:numId w:val="4"/>
              </w:numPr>
              <w:spacing w:after="0"/>
              <w:rPr>
                <w:lang w:val="en-US"/>
              </w:rPr>
            </w:pPr>
            <w:r>
              <w:rPr>
                <w:rFonts w:hint="eastAsia"/>
                <w:lang w:val="en-US"/>
              </w:rPr>
              <w:t>Enhanced RF requirements:</w:t>
            </w:r>
          </w:p>
          <w:p>
            <w:pPr>
              <w:numPr>
                <w:ilvl w:val="2"/>
                <w:numId w:val="4"/>
              </w:numPr>
              <w:spacing w:after="0"/>
              <w:rPr>
                <w:lang w:val="en-US"/>
              </w:rPr>
            </w:pPr>
            <w:r>
              <w:rPr>
                <w:lang w:val="en-US"/>
              </w:rPr>
              <w:t>Specify RF requirements, mainly spherical coverage requirements, for devices with simultaneous reception from different directions with different QCL TypeD RSs</w:t>
            </w:r>
            <w:bookmarkStart w:id="0" w:name="_Hlk104922953"/>
          </w:p>
          <w:bookmarkEnd w:id="0"/>
          <w:p>
            <w:pPr>
              <w:numPr>
                <w:ilvl w:val="2"/>
                <w:numId w:val="4"/>
              </w:numPr>
              <w:spacing w:after="0"/>
              <w:rPr>
                <w:lang w:val="en-US"/>
              </w:rPr>
            </w:pPr>
            <w:r>
              <w:rPr>
                <w:lang w:val="en-US"/>
              </w:rPr>
              <w:t>The legacy spherical coverage requirement for reception from a single direction will be kept</w:t>
            </w:r>
          </w:p>
          <w:p>
            <w:pPr>
              <w:numPr>
                <w:ilvl w:val="2"/>
                <w:numId w:val="4"/>
              </w:numPr>
              <w:spacing w:after="0"/>
              <w:rPr>
                <w:lang w:val="en-US"/>
              </w:rPr>
            </w:pPr>
            <w:r>
              <w:rPr>
                <w:highlight w:val="none"/>
                <w:lang w:val="en-US"/>
              </w:rPr>
              <w:t>PC3</w:t>
            </w:r>
            <w:r>
              <w:rPr>
                <w:lang w:val="en-US"/>
              </w:rPr>
              <w:t xml:space="preserve"> will be prioritized, other power classes should be considered after the PC3 requirements framework is finalized</w:t>
            </w:r>
          </w:p>
          <w:p>
            <w:pPr>
              <w:numPr>
                <w:ilvl w:val="0"/>
                <w:numId w:val="4"/>
              </w:numPr>
              <w:spacing w:after="0"/>
              <w:rPr>
                <w:lang w:val="en-US"/>
              </w:rPr>
            </w:pPr>
            <w:r>
              <w:rPr>
                <w:lang w:val="en-US"/>
              </w:rPr>
              <w:t>Introduce necessary requirement(s) for enhanced FR2-1 UEs with simultaneous DL reception from different directions with different QCL TypeD RSs on a single component carrier</w:t>
            </w:r>
            <w:r>
              <w:rPr>
                <w:rFonts w:hint="eastAsia" w:eastAsia="宋体"/>
                <w:lang w:val="en-US" w:eastAsia="zh-CN"/>
              </w:rPr>
              <w:t xml:space="preserve">  </w:t>
            </w:r>
          </w:p>
          <w:p>
            <w:pPr>
              <w:numPr>
                <w:ilvl w:val="1"/>
                <w:numId w:val="4"/>
              </w:numPr>
              <w:spacing w:after="0"/>
              <w:rPr>
                <w:lang w:val="en-US"/>
              </w:rPr>
            </w:pPr>
            <w:r>
              <w:rPr>
                <w:rFonts w:hint="eastAsia"/>
                <w:lang w:val="en-US"/>
              </w:rPr>
              <w:t>Enhanced R</w:t>
            </w:r>
            <w:r>
              <w:rPr>
                <w:lang w:val="en-US"/>
              </w:rPr>
              <w:t>RM</w:t>
            </w:r>
            <w:r>
              <w:rPr>
                <w:rFonts w:hint="eastAsia"/>
                <w:lang w:val="en-US"/>
              </w:rPr>
              <w:t xml:space="preserve"> requirements:</w:t>
            </w:r>
          </w:p>
          <w:p>
            <w:pPr>
              <w:numPr>
                <w:ilvl w:val="2"/>
                <w:numId w:val="4"/>
              </w:numPr>
              <w:spacing w:after="0"/>
              <w:rPr>
                <w:lang w:val="en-US"/>
              </w:rPr>
            </w:pPr>
            <w:r>
              <w:rPr>
                <w:rFonts w:hint="eastAsia"/>
                <w:lang w:val="en-US" w:eastAsia="ja-JP"/>
              </w:rPr>
              <w:t>T</w:t>
            </w:r>
            <w:r>
              <w:rPr>
                <w:lang w:val="en-US" w:eastAsia="ja-JP"/>
              </w:rPr>
              <w:t>he following requirements should be studied and specified if necessary:</w:t>
            </w:r>
          </w:p>
          <w:p>
            <w:pPr>
              <w:numPr>
                <w:ilvl w:val="3"/>
                <w:numId w:val="4"/>
              </w:numPr>
              <w:spacing w:after="0"/>
              <w:rPr>
                <w:lang w:val="en-US"/>
              </w:rPr>
            </w:pPr>
            <w:r>
              <w:rPr>
                <w:lang w:val="en-US"/>
              </w:rPr>
              <w:t>L1-RSRP measurement delay</w:t>
            </w:r>
          </w:p>
          <w:p>
            <w:pPr>
              <w:numPr>
                <w:ilvl w:val="3"/>
                <w:numId w:val="4"/>
              </w:numPr>
              <w:spacing w:after="0"/>
              <w:rPr>
                <w:lang w:val="en-US"/>
              </w:rPr>
            </w:pPr>
            <w:r>
              <w:rPr>
                <w:lang w:val="en-US"/>
              </w:rPr>
              <w:t>L3 measurement delay (both cell detection delay and measurement period can be considered)</w:t>
            </w:r>
          </w:p>
          <w:p>
            <w:pPr>
              <w:numPr>
                <w:ilvl w:val="4"/>
                <w:numId w:val="4"/>
              </w:numPr>
              <w:spacing w:after="0"/>
              <w:rPr>
                <w:lang w:val="en-US"/>
              </w:rPr>
            </w:pPr>
            <w:r>
              <w:rPr>
                <w:lang w:val="en-US"/>
              </w:rPr>
              <w:t>The starting point is the enhancements related to L1-RSRP measurement enhancements</w:t>
            </w:r>
          </w:p>
          <w:p>
            <w:pPr>
              <w:numPr>
                <w:ilvl w:val="3"/>
                <w:numId w:val="4"/>
              </w:numPr>
              <w:spacing w:after="0"/>
              <w:rPr>
                <w:lang w:val="en-US"/>
              </w:rPr>
            </w:pPr>
            <w:r>
              <w:rPr>
                <w:lang w:val="en-US"/>
              </w:rPr>
              <w:t>RLM and BFD/CBD requirements</w:t>
            </w:r>
          </w:p>
          <w:p>
            <w:pPr>
              <w:numPr>
                <w:ilvl w:val="3"/>
                <w:numId w:val="4"/>
              </w:numPr>
              <w:spacing w:after="0"/>
              <w:rPr>
                <w:lang w:val="en-US"/>
              </w:rPr>
            </w:pPr>
            <w:r>
              <w:rPr>
                <w:lang w:val="en-US"/>
              </w:rPr>
              <w:t>Scheduling/measurement restrictions</w:t>
            </w:r>
          </w:p>
          <w:p>
            <w:pPr>
              <w:numPr>
                <w:ilvl w:val="3"/>
                <w:numId w:val="4"/>
              </w:numPr>
              <w:spacing w:after="0"/>
              <w:rPr>
                <w:lang w:val="en-US"/>
              </w:rPr>
            </w:pPr>
            <w:r>
              <w:rPr>
                <w:lang w:val="en-US"/>
              </w:rPr>
              <w:t>TCI state switching delay with dual TCI</w:t>
            </w:r>
          </w:p>
          <w:p>
            <w:pPr>
              <w:numPr>
                <w:ilvl w:val="3"/>
                <w:numId w:val="4"/>
              </w:numPr>
              <w:spacing w:after="0"/>
              <w:rPr>
                <w:bCs/>
              </w:rPr>
            </w:pPr>
            <w:r>
              <w:rPr>
                <w:lang w:val="en-US"/>
              </w:rPr>
              <w:t>Receive timing difference between different directions (different QCL Type D RSs)</w:t>
            </w:r>
          </w:p>
          <w:p>
            <w:pPr>
              <w:spacing w:after="0"/>
              <w:rPr>
                <w:bCs/>
                <w:lang w:eastAsia="ja-JP"/>
              </w:rPr>
            </w:pPr>
            <w:r>
              <w:rPr>
                <w:rFonts w:hint="eastAsia"/>
                <w:bCs/>
                <w:lang w:eastAsia="ja-JP"/>
              </w:rPr>
              <w:t>N</w:t>
            </w:r>
            <w:r>
              <w:rPr>
                <w:bCs/>
                <w:lang w:eastAsia="ja-JP"/>
              </w:rPr>
              <w:t>OTE:</w:t>
            </w:r>
          </w:p>
          <w:p>
            <w:pPr>
              <w:numPr>
                <w:ilvl w:val="0"/>
                <w:numId w:val="5"/>
              </w:numPr>
              <w:spacing w:after="0"/>
              <w:rPr>
                <w:rFonts w:hint="eastAsia" w:eastAsia="宋体"/>
                <w:vertAlign w:val="baseline"/>
                <w:lang w:val="en-US" w:eastAsia="zh-CN"/>
              </w:rPr>
            </w:pPr>
            <w:r>
              <w:rPr>
                <w:rFonts w:hint="eastAsia"/>
                <w:bCs/>
                <w:lang w:eastAsia="ja-JP"/>
              </w:rPr>
              <w:t>T</w:t>
            </w:r>
            <w:r>
              <w:rPr>
                <w:bCs/>
                <w:lang w:eastAsia="ja-JP"/>
              </w:rPr>
              <w:t>he case of single TCI is handled as a second priority. Additional aspects related to single TCI can be further revisited.</w:t>
            </w:r>
          </w:p>
        </w:tc>
      </w:tr>
    </w:tbl>
    <w:p>
      <w:pPr>
        <w:pStyle w:val="8"/>
        <w:tabs>
          <w:tab w:val="left" w:pos="226"/>
          <w:tab w:val="left" w:pos="284"/>
          <w:tab w:val="left" w:pos="5103"/>
        </w:tabs>
        <w:snapToGrid w:val="0"/>
        <w:spacing w:before="156" w:beforeLines="50"/>
        <w:rPr>
          <w:rFonts w:hint="default" w:eastAsia="宋体"/>
          <w:kern w:val="2"/>
          <w:sz w:val="20"/>
          <w:szCs w:val="20"/>
          <w:lang w:val="en-US" w:eastAsia="zh-CN"/>
        </w:rPr>
      </w:pPr>
      <w:r>
        <w:rPr>
          <w:rFonts w:hint="eastAsia" w:eastAsia="宋体"/>
          <w:lang w:val="en-US" w:eastAsia="zh-CN"/>
        </w:rPr>
        <w:t xml:space="preserve">In last RAN4 meeting, RAN4 has spread extensive discussion around simultaneous multi-panel/multi-beam reception. In this document, we provide our further analysis focus on the TCI state switching related RRM aspects. </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hint="eastAsia" w:eastAsia="宋体"/>
          <w:color w:val="auto"/>
          <w:lang w:eastAsia="zh-CN"/>
        </w:rPr>
        <w:t>Discussion</w:t>
      </w:r>
    </w:p>
    <w:p>
      <w:pPr>
        <w:pStyle w:val="8"/>
        <w:tabs>
          <w:tab w:val="left" w:pos="226"/>
          <w:tab w:val="left" w:pos="284"/>
          <w:tab w:val="left" w:pos="5103"/>
        </w:tabs>
        <w:snapToGrid w:val="0"/>
        <w:spacing w:before="156" w:beforeLines="50"/>
        <w:rPr>
          <w:rFonts w:hint="eastAsia" w:eastAsia="宋体"/>
          <w:color w:val="auto"/>
          <w:sz w:val="21"/>
          <w:szCs w:val="21"/>
          <w:lang w:val="en-US" w:eastAsia="zh-CN"/>
        </w:rPr>
      </w:pPr>
      <w:r>
        <w:rPr>
          <w:rFonts w:hint="eastAsia" w:eastAsia="宋体"/>
          <w:color w:val="auto"/>
          <w:sz w:val="21"/>
          <w:szCs w:val="21"/>
          <w:lang w:val="en-US" w:eastAsia="zh-CN"/>
        </w:rPr>
        <w:t xml:space="preserve">Consider for the number of receiving panel, although it is not declared in the specification, actually the FR2 UE requirements are specified orienting toward single-panel UE in Rel-15. </w:t>
      </w:r>
    </w:p>
    <w:p>
      <w:pPr>
        <w:pStyle w:val="8"/>
        <w:tabs>
          <w:tab w:val="left" w:pos="226"/>
          <w:tab w:val="left" w:pos="284"/>
          <w:tab w:val="left" w:pos="5103"/>
        </w:tabs>
        <w:snapToGrid w:val="0"/>
        <w:spacing w:before="156" w:beforeLines="50"/>
        <w:rPr>
          <w:rFonts w:hint="eastAsia" w:eastAsia="宋体"/>
          <w:color w:val="auto"/>
          <w:sz w:val="21"/>
          <w:szCs w:val="21"/>
          <w:lang w:val="en-US" w:eastAsia="zh-CN"/>
        </w:rPr>
      </w:pPr>
      <w:r>
        <w:rPr>
          <w:rFonts w:hint="eastAsia" w:eastAsia="宋体"/>
          <w:color w:val="auto"/>
          <w:sz w:val="21"/>
          <w:szCs w:val="21"/>
          <w:lang w:val="en-US" w:eastAsia="zh-CN"/>
        </w:rPr>
        <w:t>In Rel-16 and Rel-17, in order to support multi-TRP scenario, some enhancements for receiving beam/panel were achieved:</w:t>
      </w:r>
    </w:p>
    <w:p>
      <w:pPr>
        <w:numPr>
          <w:ilvl w:val="0"/>
          <w:numId w:val="6"/>
        </w:numPr>
        <w:tabs>
          <w:tab w:val="clear" w:pos="420"/>
        </w:tabs>
        <w:ind w:left="840" w:leftChars="0" w:hanging="420" w:firstLineChars="0"/>
        <w:rPr>
          <w:b/>
          <w:i/>
        </w:rPr>
      </w:pPr>
      <w:r>
        <w:rPr>
          <w:rFonts w:hint="eastAsia"/>
          <w:lang w:val="en-US" w:eastAsia="zh-CN"/>
        </w:rPr>
        <w:t>Transmission schemes with simultaneous and non-simultaneous multi-beam reception from multiple TRPs/panels were introduced;</w:t>
      </w:r>
    </w:p>
    <w:p>
      <w:pPr>
        <w:numPr>
          <w:ilvl w:val="0"/>
          <w:numId w:val="6"/>
        </w:numPr>
        <w:tabs>
          <w:tab w:val="clear" w:pos="420"/>
        </w:tabs>
        <w:ind w:left="840" w:leftChars="0" w:hanging="420" w:firstLineChars="0"/>
        <w:rPr>
          <w:b/>
          <w:i/>
        </w:rPr>
      </w:pPr>
      <w:r>
        <w:rPr>
          <w:rFonts w:hint="eastAsia"/>
          <w:lang w:val="en-US" w:eastAsia="zh-CN"/>
        </w:rPr>
        <w:t xml:space="preserve">FR2 UE capability for simultaneous multi-beam reception </w:t>
      </w:r>
      <w:r>
        <w:rPr>
          <w:b/>
          <w:i/>
        </w:rPr>
        <w:t>simultaneousReceptionDiffTypeD-r16</w:t>
      </w:r>
      <w:r>
        <w:rPr>
          <w:rFonts w:hint="eastAsia" w:eastAsia="宋体"/>
          <w:b/>
          <w:i/>
          <w:lang w:val="en-US" w:eastAsia="zh-CN"/>
        </w:rPr>
        <w:t xml:space="preserve"> </w:t>
      </w:r>
      <w:r>
        <w:rPr>
          <w:rFonts w:hint="eastAsia"/>
          <w:lang w:val="en-US" w:eastAsia="zh-CN"/>
        </w:rPr>
        <w:t>was introduced;</w:t>
      </w:r>
    </w:p>
    <w:p>
      <w:pPr>
        <w:pStyle w:val="8"/>
        <w:tabs>
          <w:tab w:val="left" w:pos="226"/>
          <w:tab w:val="left" w:pos="284"/>
          <w:tab w:val="left" w:pos="5103"/>
        </w:tabs>
        <w:snapToGrid w:val="0"/>
        <w:spacing w:before="156" w:beforeLines="50"/>
        <w:rPr>
          <w:rFonts w:hint="eastAsia" w:eastAsia="宋体"/>
          <w:color w:val="auto"/>
          <w:sz w:val="21"/>
          <w:szCs w:val="21"/>
          <w:lang w:val="en-US" w:eastAsia="zh-CN"/>
        </w:rPr>
      </w:pPr>
      <w:r>
        <w:rPr>
          <w:rFonts w:hint="eastAsia" w:eastAsia="宋体"/>
          <w:color w:val="auto"/>
          <w:sz w:val="21"/>
          <w:szCs w:val="21"/>
          <w:lang w:val="en-US" w:eastAsia="zh-CN"/>
        </w:rPr>
        <w:t xml:space="preserve">The support of FR2 CA with IBM and CBM with simultaneous DL reception on different component carriers was defined. For the UE capable of IBM, actually such UE has the capability of DL simultaneous reception on different UE panels/RF chains using different beams.  </w:t>
      </w:r>
    </w:p>
    <w:p>
      <w:pPr>
        <w:pStyle w:val="8"/>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olor w:val="auto"/>
          <w:sz w:val="21"/>
          <w:szCs w:val="21"/>
          <w:lang w:val="en-US" w:eastAsia="zh-CN"/>
        </w:rPr>
        <w:t xml:space="preserve">However, no matter Rel-15 or Rel-16/17, not any enhanced RAN4 requirements were defined for FR2 UEs capable of simultaneous multi-panel/beam reception. </w:t>
      </w:r>
    </w:p>
    <w:p>
      <w:pPr>
        <w:pStyle w:val="8"/>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Observation 1: In fact from the perspective of UE capability, simultaneous multi-panel/beam reception has been supported from Rel-16/17, focus on CA scenario. However for this Rel-18 WID, the simultaneous multi-panel/beam reception is oriented to single component carrier scenario.</w:t>
      </w:r>
    </w:p>
    <w:p>
      <w:pPr>
        <w:pStyle w:val="8"/>
        <w:numPr>
          <w:ilvl w:val="0"/>
          <w:numId w:val="0"/>
        </w:numPr>
        <w:rPr>
          <w:rFonts w:hint="eastAsia"/>
          <w:lang w:val="en-US" w:eastAsia="zh-CN"/>
        </w:rPr>
      </w:pPr>
      <w:r>
        <w:rPr>
          <w:rFonts w:hint="eastAsia"/>
          <w:lang w:val="en-US" w:eastAsia="zh-CN"/>
        </w:rPr>
        <w:t>For RRM impacts caused by simultaneous DL reception from different directions with different QCL TypeD RSs on a single component carrier, we provide our analysis as bellow.</w:t>
      </w:r>
    </w:p>
    <w:p>
      <w:pPr>
        <w:pStyle w:val="8"/>
        <w:numPr>
          <w:ilvl w:val="0"/>
          <w:numId w:val="0"/>
        </w:numPr>
        <w:tabs>
          <w:tab w:val="left" w:pos="226"/>
          <w:tab w:val="left" w:pos="284"/>
          <w:tab w:val="left" w:pos="5103"/>
        </w:tabs>
        <w:snapToGrid w:val="0"/>
        <w:spacing w:before="156" w:beforeLines="50"/>
        <w:rPr>
          <w:rFonts w:hint="eastAsia" w:eastAsia="宋体"/>
          <w:lang w:val="en-US" w:eastAsia="zh-CN"/>
        </w:rPr>
      </w:pPr>
      <w:r>
        <w:rPr>
          <w:rFonts w:hint="eastAsia" w:eastAsia="宋体"/>
          <w:lang w:val="en-US" w:eastAsia="zh-CN"/>
        </w:rPr>
        <w:t>Under this WI, to our understanding, to realize simultaneous receptions from different beams, multiple panels and Rx chains are equipped to the UE. So each TCI state switching per Rx chain can be assumed to be independent in aspect of TCI state switching delay. Referring to the relation between TCI states and Rx chains/panels, there are two possible assumptions:</w:t>
      </w:r>
    </w:p>
    <w:p>
      <w:pPr>
        <w:pStyle w:val="8"/>
        <w:numPr>
          <w:ilvl w:val="0"/>
          <w:numId w:val="7"/>
        </w:numPr>
        <w:tabs>
          <w:tab w:val="left" w:pos="226"/>
          <w:tab w:val="left" w:pos="284"/>
          <w:tab w:val="left" w:pos="5103"/>
        </w:tabs>
        <w:snapToGrid w:val="0"/>
        <w:spacing w:before="156" w:beforeLines="50"/>
        <w:rPr>
          <w:rFonts w:hint="default" w:eastAsia="宋体"/>
          <w:lang w:val="en-US" w:eastAsia="zh-CN"/>
        </w:rPr>
      </w:pPr>
      <w:r>
        <w:rPr>
          <w:rFonts w:hint="eastAsia" w:eastAsia="宋体"/>
          <w:lang w:val="en-US" w:eastAsia="zh-CN"/>
        </w:rPr>
        <w:t>Each Rx chain/panel corresponds to partial TCI states, i.e. independent candidate TCI state pool for each Rx chain/panel. Then the TCI state switching is only allowed within one candidate TCI state pools, cross-pool switching is not allowed. As shown in Figure. 6. TCI state switching is only allowed within TCI state pool#a or within TCI state pool#b. Under this case, no matter the target TCI state is known or unknown, cross pool switching is not allowed. So dual parallel TCI state switching lines work without any interaction.</w:t>
      </w:r>
    </w:p>
    <w:p>
      <w:pPr>
        <w:pStyle w:val="8"/>
        <w:numPr>
          <w:ilvl w:val="0"/>
          <w:numId w:val="0"/>
        </w:numPr>
        <w:tabs>
          <w:tab w:val="left" w:pos="226"/>
          <w:tab w:val="left" w:pos="284"/>
          <w:tab w:val="left" w:pos="5103"/>
        </w:tabs>
        <w:snapToGrid w:val="0"/>
        <w:spacing w:before="156" w:beforeLines="50"/>
        <w:rPr>
          <w:rFonts w:hint="default" w:eastAsia="宋体"/>
          <w:lang w:val="en-US" w:eastAsia="zh-CN"/>
        </w:rPr>
      </w:pPr>
      <w:r>
        <w:rPr>
          <w:rFonts w:hint="eastAsia" w:eastAsia="宋体"/>
          <w:lang w:val="en-US" w:eastAsia="zh-CN"/>
        </w:rPr>
        <w:t>Under the assumption of 1), we believe no new issues needs to be identified, reusing the legacy TCI state switching is fine. But the restriction of not cross pool switching is necessary. Even though the target TCI state is unknown, UE only needs to perform L1-RSRP measurement based on the RS resources not exceeding one pool, which can be implemented through NW configuration.</w:t>
      </w:r>
    </w:p>
    <w:p>
      <w:pPr>
        <w:numPr>
          <w:ilvl w:val="0"/>
          <w:numId w:val="0"/>
        </w:numPr>
        <w:jc w:val="center"/>
      </w:pPr>
      <w:r>
        <w:drawing>
          <wp:inline distT="0" distB="0" distL="114300" distR="114300">
            <wp:extent cx="4996180" cy="1537335"/>
            <wp:effectExtent l="0" t="0" r="2540" b="190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pic:cNvPicPr>
                  </pic:nvPicPr>
                  <pic:blipFill>
                    <a:blip r:embed="rId5"/>
                    <a:stretch>
                      <a:fillRect/>
                    </a:stretch>
                  </pic:blipFill>
                  <pic:spPr>
                    <a:xfrm>
                      <a:off x="0" y="0"/>
                      <a:ext cx="4996180" cy="1537335"/>
                    </a:xfrm>
                    <a:prstGeom prst="rect">
                      <a:avLst/>
                    </a:prstGeom>
                    <a:noFill/>
                    <a:ln>
                      <a:noFill/>
                    </a:ln>
                  </pic:spPr>
                </pic:pic>
              </a:graphicData>
            </a:graphic>
          </wp:inline>
        </w:drawing>
      </w:r>
    </w:p>
    <w:p>
      <w:pPr>
        <w:numPr>
          <w:ilvl w:val="0"/>
          <w:numId w:val="0"/>
        </w:numPr>
        <w:jc w:val="center"/>
        <w:rPr>
          <w:rFonts w:hint="eastAsia" w:eastAsia="宋体"/>
          <w:lang w:val="en-US" w:eastAsia="zh-CN"/>
        </w:rPr>
      </w:pPr>
      <w:r>
        <w:rPr>
          <w:rFonts w:hint="eastAsia" w:eastAsia="宋体"/>
          <w:lang w:val="en-US" w:eastAsia="zh-CN"/>
        </w:rPr>
        <w:t xml:space="preserve">Figure. 6 </w:t>
      </w:r>
    </w:p>
    <w:p>
      <w:pPr>
        <w:pStyle w:val="8"/>
        <w:numPr>
          <w:ilvl w:val="0"/>
          <w:numId w:val="7"/>
        </w:numPr>
        <w:tabs>
          <w:tab w:val="left" w:pos="226"/>
          <w:tab w:val="left" w:pos="284"/>
          <w:tab w:val="left" w:pos="5103"/>
        </w:tabs>
        <w:snapToGrid w:val="0"/>
        <w:spacing w:before="156" w:beforeLines="50"/>
        <w:ind w:left="0" w:leftChars="0" w:firstLine="0" w:firstLineChars="0"/>
        <w:rPr>
          <w:rFonts w:hint="default" w:eastAsia="宋体"/>
          <w:lang w:val="en-US" w:eastAsia="zh-CN"/>
        </w:rPr>
      </w:pPr>
      <w:r>
        <w:rPr>
          <w:rFonts w:hint="eastAsia" w:eastAsia="宋体"/>
          <w:lang w:val="en-US" w:eastAsia="zh-CN"/>
        </w:rPr>
        <w:t>Without the limitation of not cross pool switching allowed, the target TCI state can be in any pool, as shown in Figure. 7. So for the TCI state switching, it can be within panel switching or cross panel switching. For one TCI state switching, the whole procedure is similar as the TCI state switching in legacy, i.e. whether panel switching happening or not, which is transparent to NW. Under such situation, according to the detailed target TCI states status, dual TCI state switching can be divided into the following three cases:</w:t>
      </w:r>
    </w:p>
    <w:p>
      <w:pPr>
        <w:numPr>
          <w:ilvl w:val="0"/>
          <w:numId w:val="8"/>
        </w:numPr>
        <w:ind w:left="420" w:leftChars="0" w:hanging="420" w:firstLineChars="0"/>
        <w:jc w:val="both"/>
        <w:rPr>
          <w:rFonts w:hint="default" w:eastAsia="宋体"/>
          <w:lang w:val="en-US" w:eastAsia="zh-CN"/>
        </w:rPr>
      </w:pPr>
      <w:r>
        <w:rPr>
          <w:rFonts w:hint="eastAsia" w:eastAsia="宋体"/>
          <w:lang w:val="en-US" w:eastAsia="zh-CN"/>
        </w:rPr>
        <w:t>Case 1: Dual known TCI state switching</w:t>
      </w:r>
    </w:p>
    <w:p>
      <w:pPr>
        <w:numPr>
          <w:ilvl w:val="0"/>
          <w:numId w:val="8"/>
        </w:numPr>
        <w:ind w:left="420" w:leftChars="0" w:hanging="420" w:firstLineChars="0"/>
        <w:jc w:val="both"/>
        <w:rPr>
          <w:rFonts w:hint="default" w:eastAsia="宋体"/>
          <w:lang w:val="en-US" w:eastAsia="zh-CN"/>
        </w:rPr>
      </w:pPr>
      <w:r>
        <w:rPr>
          <w:rFonts w:hint="eastAsia" w:eastAsia="宋体"/>
          <w:lang w:val="en-US" w:eastAsia="zh-CN"/>
        </w:rPr>
        <w:t>Case 2: One known TCI state switching + one unknown TCI state switching</w:t>
      </w:r>
    </w:p>
    <w:p>
      <w:pPr>
        <w:numPr>
          <w:ilvl w:val="0"/>
          <w:numId w:val="8"/>
        </w:numPr>
        <w:ind w:left="420" w:leftChars="0" w:hanging="420" w:firstLineChars="0"/>
        <w:jc w:val="both"/>
        <w:rPr>
          <w:rFonts w:hint="default" w:eastAsia="宋体"/>
          <w:lang w:val="en-US" w:eastAsia="zh-CN"/>
        </w:rPr>
      </w:pPr>
      <w:r>
        <w:rPr>
          <w:rFonts w:hint="eastAsia" w:eastAsia="宋体"/>
          <w:lang w:val="en-US" w:eastAsia="zh-CN"/>
        </w:rPr>
        <w:t>Case 3: Dual unknown TCI state switching</w:t>
      </w:r>
    </w:p>
    <w:p>
      <w:pPr>
        <w:numPr>
          <w:ilvl w:val="0"/>
          <w:numId w:val="0"/>
        </w:numPr>
        <w:ind w:leftChars="0"/>
        <w:jc w:val="center"/>
      </w:pPr>
      <w:r>
        <w:drawing>
          <wp:inline distT="0" distB="0" distL="114300" distR="114300">
            <wp:extent cx="3697605" cy="1877060"/>
            <wp:effectExtent l="0" t="0" r="5715" b="1270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pic:cNvPicPr>
                  </pic:nvPicPr>
                  <pic:blipFill>
                    <a:blip r:embed="rId6"/>
                    <a:stretch>
                      <a:fillRect/>
                    </a:stretch>
                  </pic:blipFill>
                  <pic:spPr>
                    <a:xfrm>
                      <a:off x="0" y="0"/>
                      <a:ext cx="3697605" cy="1877060"/>
                    </a:xfrm>
                    <a:prstGeom prst="rect">
                      <a:avLst/>
                    </a:prstGeom>
                    <a:noFill/>
                    <a:ln>
                      <a:noFill/>
                    </a:ln>
                  </pic:spPr>
                </pic:pic>
              </a:graphicData>
            </a:graphic>
          </wp:inline>
        </w:drawing>
      </w:r>
    </w:p>
    <w:p>
      <w:pPr>
        <w:numPr>
          <w:ilvl w:val="0"/>
          <w:numId w:val="0"/>
        </w:numPr>
        <w:jc w:val="center"/>
        <w:rPr>
          <w:rFonts w:hint="eastAsia" w:eastAsia="宋体"/>
          <w:lang w:val="en-US" w:eastAsia="zh-CN"/>
        </w:rPr>
      </w:pPr>
      <w:r>
        <w:rPr>
          <w:rFonts w:hint="eastAsia" w:eastAsia="宋体"/>
          <w:lang w:val="en-US" w:eastAsia="zh-CN"/>
        </w:rPr>
        <w:t xml:space="preserve">Figure. 7 </w:t>
      </w:r>
    </w:p>
    <w:p>
      <w:pPr>
        <w:pStyle w:val="8"/>
        <w:numPr>
          <w:ilvl w:val="0"/>
          <w:numId w:val="0"/>
        </w:numPr>
        <w:tabs>
          <w:tab w:val="left" w:pos="226"/>
          <w:tab w:val="left" w:pos="284"/>
          <w:tab w:val="left" w:pos="5103"/>
        </w:tabs>
        <w:snapToGrid w:val="0"/>
        <w:spacing w:before="156" w:beforeLines="50"/>
        <w:rPr>
          <w:rFonts w:hint="default" w:eastAsia="宋体"/>
          <w:lang w:val="en-US" w:eastAsia="zh-CN"/>
        </w:rPr>
      </w:pPr>
      <w:r>
        <w:rPr>
          <w:rFonts w:hint="eastAsia" w:eastAsia="宋体"/>
          <w:lang w:val="en-US" w:eastAsia="zh-CN"/>
        </w:rPr>
        <w:t>For Case 1, since the target TCI states for dual TCI state switching are both known case, so the UE does not need to perform L1-RSRP measurement and report. But if the target TCI state is not maintained by UE, UE still need to perform time/frequency tracking based on first SSB. If dual target TCI state are both not maintained by UE, UE can only receive dual first SSB through dual panels/Rx chains in parallel, can not receive dual first SSB in a single panel at a time. This would be the only limitation for parallel dual TCI state switching procedures. But in our opinion, the case of simultaneous dual TCI state switching happening and both target TCI states are not maintained by the UE, further more, the UE has to receive dual first SSB at a time, maybe we can see such case as a corner case and would not happen frequently. Therefore the dual parallel TCI state switching can work independently except for the corner case.</w:t>
      </w:r>
    </w:p>
    <w:p>
      <w:pPr>
        <w:pStyle w:val="8"/>
        <w:numPr>
          <w:ilvl w:val="0"/>
          <w:numId w:val="0"/>
        </w:numPr>
        <w:tabs>
          <w:tab w:val="left" w:pos="226"/>
          <w:tab w:val="left" w:pos="284"/>
          <w:tab w:val="left" w:pos="5103"/>
        </w:tabs>
        <w:snapToGrid w:val="0"/>
        <w:spacing w:before="156" w:beforeLines="50"/>
        <w:rPr>
          <w:rFonts w:hint="default" w:eastAsia="宋体"/>
          <w:lang w:val="en-US" w:eastAsia="zh-CN"/>
        </w:rPr>
      </w:pPr>
      <w:r>
        <w:rPr>
          <w:rFonts w:hint="eastAsia" w:eastAsia="宋体"/>
          <w:lang w:val="en-US" w:eastAsia="zh-CN"/>
        </w:rPr>
        <w:t xml:space="preserve">For Case 2, UE needs to perform L1-RSRP measurement and report since of one of the dual TCI state switching. If the L1-RSRP measurement only refers to single panel/Rx chain, and UE has maintained the other target TCI state, dual parallel TCI state switching can be performed by UE. But if the L1-RSRP measurement refers to both panels/Rx chains, UE can only perform dual TCI state switching in sequence, i.e. UE has to finish L1-RSRP measurement for the unknown TCI state switching, and then perform the known TCI state switching. </w:t>
      </w:r>
    </w:p>
    <w:p>
      <w:pPr>
        <w:pStyle w:val="8"/>
        <w:numPr>
          <w:ilvl w:val="0"/>
          <w:numId w:val="0"/>
        </w:numPr>
        <w:tabs>
          <w:tab w:val="left" w:pos="226"/>
          <w:tab w:val="left" w:pos="284"/>
          <w:tab w:val="left" w:pos="5103"/>
        </w:tabs>
        <w:snapToGrid w:val="0"/>
        <w:spacing w:before="156" w:beforeLines="50"/>
        <w:rPr>
          <w:rFonts w:hint="default" w:eastAsia="宋体"/>
          <w:lang w:val="en-US" w:eastAsia="zh-CN"/>
        </w:rPr>
      </w:pPr>
      <w:r>
        <w:rPr>
          <w:rFonts w:hint="eastAsia" w:eastAsia="宋体"/>
          <w:lang w:val="en-US" w:eastAsia="zh-CN"/>
        </w:rPr>
        <w:t>For Case 3, UE has to perform dual L1-RSRP measurement and report for each of dual TCI state switching. If each L1-RSRP measurement refers to dual panels/Rx chains, then UE can only perform dual TCI state switching in sequence. Otherwise, similar as assumption 1).</w:t>
      </w:r>
    </w:p>
    <w:p>
      <w:pPr>
        <w:pStyle w:val="8"/>
        <w:numPr>
          <w:ilvl w:val="0"/>
          <w:numId w:val="0"/>
        </w:numPr>
        <w:tabs>
          <w:tab w:val="left" w:pos="226"/>
          <w:tab w:val="left" w:pos="284"/>
          <w:tab w:val="left" w:pos="5103"/>
        </w:tabs>
        <w:snapToGrid w:val="0"/>
        <w:spacing w:before="156" w:beforeLines="5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1: Referring to dual TCI state switching, we can have two assumptions：</w:t>
      </w:r>
    </w:p>
    <w:p>
      <w:pPr>
        <w:pStyle w:val="8"/>
        <w:numPr>
          <w:ilvl w:val="0"/>
          <w:numId w:val="9"/>
        </w:numPr>
        <w:tabs>
          <w:tab w:val="left" w:pos="226"/>
          <w:tab w:val="left" w:pos="284"/>
          <w:tab w:val="left" w:pos="5103"/>
        </w:tabs>
        <w:snapToGrid w:val="0"/>
        <w:spacing w:before="156" w:beforeLines="5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Independent candidate TCI state pool for each Rx chain/panel. Then the TCI state switching is only allowed within one candidate TCI state pool, cross-pool switching is not allowed. </w:t>
      </w:r>
    </w:p>
    <w:p>
      <w:pPr>
        <w:pStyle w:val="8"/>
        <w:numPr>
          <w:ilvl w:val="0"/>
          <w:numId w:val="0"/>
        </w:numPr>
        <w:tabs>
          <w:tab w:val="left" w:pos="226"/>
          <w:tab w:val="left" w:pos="284"/>
          <w:tab w:val="left" w:pos="5103"/>
        </w:tabs>
        <w:snapToGrid w:val="0"/>
        <w:spacing w:before="156" w:beforeLines="5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2）Without the limitation of not cross pool switching allowed, the target TCI state can be in any pool, same of different with the pool of current TCI state, i.e. each TCI state switching can be within panel/Rx chain or cross panels/Rx chains.</w:t>
      </w:r>
    </w:p>
    <w:p>
      <w:pPr>
        <w:pStyle w:val="8"/>
        <w:numPr>
          <w:ilvl w:val="0"/>
          <w:numId w:val="0"/>
        </w:numPr>
        <w:tabs>
          <w:tab w:val="left" w:pos="226"/>
          <w:tab w:val="left" w:pos="284"/>
          <w:tab w:val="left" w:pos="5103"/>
        </w:tabs>
        <w:snapToGrid w:val="0"/>
        <w:spacing w:before="156" w:beforeLines="5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Proposal 2: Under the 1st assumption, basically UE can perform dual parallel TCI state switching simultaneously. Under the 2nd assumption, the following three different cases should be considered: </w:t>
      </w:r>
    </w:p>
    <w:p>
      <w:pPr>
        <w:pStyle w:val="8"/>
        <w:numPr>
          <w:ilvl w:val="0"/>
          <w:numId w:val="0"/>
        </w:numPr>
        <w:tabs>
          <w:tab w:val="left" w:pos="226"/>
          <w:tab w:val="left" w:pos="284"/>
          <w:tab w:val="left" w:pos="5103"/>
        </w:tabs>
        <w:snapToGrid w:val="0"/>
        <w:spacing w:before="156" w:beforeLines="50"/>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Case 1: Dual known TCI state switching</w:t>
      </w:r>
    </w:p>
    <w:p>
      <w:pPr>
        <w:pStyle w:val="8"/>
        <w:numPr>
          <w:ilvl w:val="0"/>
          <w:numId w:val="0"/>
        </w:numPr>
        <w:tabs>
          <w:tab w:val="left" w:pos="226"/>
          <w:tab w:val="left" w:pos="284"/>
          <w:tab w:val="left" w:pos="5103"/>
        </w:tabs>
        <w:snapToGrid w:val="0"/>
        <w:spacing w:before="156" w:beforeLines="50"/>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Case 2: One known TCI state switching + one unknown TCI state switching</w:t>
      </w:r>
    </w:p>
    <w:p>
      <w:pPr>
        <w:pStyle w:val="8"/>
        <w:numPr>
          <w:ilvl w:val="0"/>
          <w:numId w:val="0"/>
        </w:numPr>
        <w:tabs>
          <w:tab w:val="left" w:pos="226"/>
          <w:tab w:val="left" w:pos="284"/>
          <w:tab w:val="left" w:pos="5103"/>
        </w:tabs>
        <w:snapToGrid w:val="0"/>
        <w:spacing w:before="156" w:beforeLines="50"/>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Case 3: Dual unknown TCI state switching</w:t>
      </w:r>
    </w:p>
    <w:p>
      <w:pPr>
        <w:pStyle w:val="8"/>
        <w:numPr>
          <w:ilvl w:val="0"/>
          <w:numId w:val="0"/>
        </w:numPr>
        <w:tabs>
          <w:tab w:val="left" w:pos="226"/>
          <w:tab w:val="left" w:pos="284"/>
          <w:tab w:val="left" w:pos="5103"/>
        </w:tabs>
        <w:snapToGrid w:val="0"/>
        <w:spacing w:before="156" w:beforeLines="50"/>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And it seems that dual parallel TCI state switching is only possible for Case 1.</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8"/>
        <w:tabs>
          <w:tab w:val="left" w:pos="226"/>
          <w:tab w:val="left" w:pos="284"/>
          <w:tab w:val="left" w:pos="5103"/>
        </w:tabs>
        <w:snapToGrid w:val="0"/>
        <w:rPr>
          <w:rFonts w:eastAsia="宋体"/>
          <w:bCs/>
          <w:color w:val="auto"/>
          <w:sz w:val="20"/>
          <w:szCs w:val="20"/>
          <w:lang w:val="en-GB"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xml:space="preserve">, we have the following </w:t>
      </w:r>
      <w:r>
        <w:rPr>
          <w:rFonts w:hint="eastAsia" w:eastAsia="宋体"/>
          <w:bCs/>
          <w:color w:val="auto"/>
          <w:sz w:val="20"/>
          <w:szCs w:val="20"/>
          <w:lang w:val="en-US" w:eastAsia="zh-CN"/>
        </w:rPr>
        <w:t xml:space="preserve">observation and </w:t>
      </w:r>
      <w:r>
        <w:rPr>
          <w:rFonts w:eastAsia="宋体"/>
          <w:bCs/>
          <w:color w:val="auto"/>
          <w:sz w:val="20"/>
          <w:szCs w:val="20"/>
          <w:lang w:val="en-GB" w:eastAsia="zh-CN"/>
        </w:rPr>
        <w:t>proposals</w:t>
      </w:r>
      <w:r>
        <w:rPr>
          <w:rFonts w:hint="eastAsia" w:eastAsia="宋体"/>
          <w:bCs/>
          <w:color w:val="auto"/>
          <w:sz w:val="20"/>
          <w:szCs w:val="20"/>
          <w:lang w:val="en-US" w:eastAsia="zh-CN"/>
        </w:rPr>
        <w:t xml:space="preserve"> </w:t>
      </w:r>
      <w:r>
        <w:rPr>
          <w:rFonts w:eastAsia="宋体"/>
          <w:bCs/>
          <w:color w:val="auto"/>
          <w:sz w:val="20"/>
          <w:szCs w:val="20"/>
          <w:lang w:val="en-GB" w:eastAsia="zh-CN"/>
        </w:rPr>
        <w:t xml:space="preserve">for </w:t>
      </w:r>
      <w:r>
        <w:rPr>
          <w:rFonts w:hint="eastAsia" w:eastAsia="宋体"/>
          <w:bCs/>
          <w:color w:val="auto"/>
          <w:sz w:val="20"/>
          <w:szCs w:val="20"/>
          <w:lang w:val="en-US" w:eastAsia="zh-CN"/>
        </w:rPr>
        <w:t>RRM core requirements for simultaneous DL reception from different directions</w:t>
      </w:r>
      <w:r>
        <w:rPr>
          <w:rFonts w:eastAsia="宋体"/>
          <w:bCs/>
          <w:color w:val="auto"/>
          <w:sz w:val="20"/>
          <w:szCs w:val="20"/>
          <w:lang w:val="en-GB" w:eastAsia="zh-CN"/>
        </w:rPr>
        <w:t>:</w:t>
      </w:r>
    </w:p>
    <w:p>
      <w:pPr>
        <w:pStyle w:val="8"/>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Observation 1: In fact from the perspective of UE capability, simultaneous multi-panel/beam reception has been supported from Rel-16/17, focus on CA scenario. However for this Rel-18 WID, the simultaneous multi-panel/beam reception is oriented to single component carrier scenario.</w:t>
      </w:r>
    </w:p>
    <w:p>
      <w:pPr>
        <w:pStyle w:val="8"/>
        <w:numPr>
          <w:ilvl w:val="0"/>
          <w:numId w:val="0"/>
        </w:numPr>
        <w:tabs>
          <w:tab w:val="left" w:pos="226"/>
          <w:tab w:val="left" w:pos="284"/>
          <w:tab w:val="left" w:pos="5103"/>
        </w:tabs>
        <w:snapToGrid w:val="0"/>
        <w:spacing w:before="156" w:beforeLines="5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1: Referring to dual TCI state switching, we can have two assumptions：</w:t>
      </w:r>
    </w:p>
    <w:p>
      <w:pPr>
        <w:pStyle w:val="8"/>
        <w:numPr>
          <w:ilvl w:val="0"/>
          <w:numId w:val="9"/>
        </w:numPr>
        <w:tabs>
          <w:tab w:val="left" w:pos="226"/>
          <w:tab w:val="left" w:pos="284"/>
          <w:tab w:val="left" w:pos="5103"/>
        </w:tabs>
        <w:snapToGrid w:val="0"/>
        <w:spacing w:before="156" w:beforeLines="5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Independent candidate TCI state pool for each Rx chain/panel. Then the TCI state switching is only allowed within one candidate TCI state pool, cross-pool switching is not allowed. </w:t>
      </w:r>
    </w:p>
    <w:p>
      <w:pPr>
        <w:pStyle w:val="8"/>
        <w:numPr>
          <w:ilvl w:val="0"/>
          <w:numId w:val="0"/>
        </w:numPr>
        <w:tabs>
          <w:tab w:val="left" w:pos="226"/>
          <w:tab w:val="left" w:pos="284"/>
          <w:tab w:val="left" w:pos="5103"/>
        </w:tabs>
        <w:snapToGrid w:val="0"/>
        <w:spacing w:before="156" w:beforeLines="5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2）Without the limitation of not cross pool switching allowed, the target TCI state can be in any pool, same of different with the pool of current TCI state, i.e. each TCI state switching can be within panel/Rx chain or cross panels/Rx chains.</w:t>
      </w:r>
    </w:p>
    <w:p>
      <w:pPr>
        <w:pStyle w:val="8"/>
        <w:numPr>
          <w:ilvl w:val="0"/>
          <w:numId w:val="0"/>
        </w:numPr>
        <w:tabs>
          <w:tab w:val="left" w:pos="226"/>
          <w:tab w:val="left" w:pos="284"/>
          <w:tab w:val="left" w:pos="5103"/>
        </w:tabs>
        <w:snapToGrid w:val="0"/>
        <w:spacing w:before="156" w:beforeLines="5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Proposal 2: Under the 1st assumption, basically UE can perform dual parallel TCI state switching simultaneously. Under the 2nd assumption, the following three different cases should be considered: </w:t>
      </w:r>
    </w:p>
    <w:p>
      <w:pPr>
        <w:pStyle w:val="8"/>
        <w:numPr>
          <w:ilvl w:val="0"/>
          <w:numId w:val="0"/>
        </w:numPr>
        <w:tabs>
          <w:tab w:val="left" w:pos="226"/>
          <w:tab w:val="left" w:pos="284"/>
          <w:tab w:val="left" w:pos="5103"/>
        </w:tabs>
        <w:snapToGrid w:val="0"/>
        <w:spacing w:before="156" w:beforeLines="50"/>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Case 1: Dual known TCI state switching</w:t>
      </w:r>
    </w:p>
    <w:p>
      <w:pPr>
        <w:pStyle w:val="8"/>
        <w:numPr>
          <w:ilvl w:val="0"/>
          <w:numId w:val="0"/>
        </w:numPr>
        <w:tabs>
          <w:tab w:val="left" w:pos="226"/>
          <w:tab w:val="left" w:pos="284"/>
          <w:tab w:val="left" w:pos="5103"/>
        </w:tabs>
        <w:snapToGrid w:val="0"/>
        <w:spacing w:before="156" w:beforeLines="50"/>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Case 2: One known TCI state switching + one unknown TCI state switching</w:t>
      </w:r>
    </w:p>
    <w:p>
      <w:pPr>
        <w:pStyle w:val="8"/>
        <w:numPr>
          <w:ilvl w:val="0"/>
          <w:numId w:val="0"/>
        </w:numPr>
        <w:tabs>
          <w:tab w:val="left" w:pos="226"/>
          <w:tab w:val="left" w:pos="284"/>
          <w:tab w:val="left" w:pos="5103"/>
        </w:tabs>
        <w:snapToGrid w:val="0"/>
        <w:spacing w:before="156" w:beforeLines="50"/>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Case 3: Dual unknown TCI state switching</w:t>
      </w:r>
    </w:p>
    <w:p>
      <w:pPr>
        <w:pStyle w:val="8"/>
        <w:numPr>
          <w:ilvl w:val="0"/>
          <w:numId w:val="0"/>
        </w:numPr>
        <w:tabs>
          <w:tab w:val="left" w:pos="226"/>
          <w:tab w:val="left" w:pos="284"/>
          <w:tab w:val="left" w:pos="5103"/>
        </w:tabs>
        <w:snapToGrid w:val="0"/>
        <w:spacing w:before="156" w:beforeLines="50"/>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And it seems that dual parallel TCI state switching is only possible for Case 1.</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9"/>
        <w:numPr>
          <w:ilvl w:val="0"/>
          <w:numId w:val="10"/>
        </w:numPr>
        <w:ind w:leftChars="0"/>
        <w:rPr>
          <w:rFonts w:hint="eastAsia"/>
          <w:color w:val="auto"/>
          <w:highlight w:val="none"/>
          <w:lang w:val="en-US" w:eastAsia="zh-CN"/>
        </w:rPr>
      </w:pPr>
      <w:r>
        <w:rPr>
          <w:rFonts w:hint="eastAsia"/>
          <w:lang w:val="en-US" w:eastAsia="zh-CN"/>
        </w:rPr>
        <w:t>RP-22</w:t>
      </w:r>
      <w:r>
        <w:rPr>
          <w:rFonts w:hint="eastAsia"/>
          <w:highlight w:val="none"/>
          <w:lang w:val="en-US" w:eastAsia="zh-CN"/>
        </w:rPr>
        <w:t>1753</w:t>
      </w:r>
      <w:r>
        <w:rPr>
          <w:rFonts w:hint="eastAsia"/>
          <w:color w:val="auto"/>
          <w:highlight w:val="none"/>
          <w:lang w:val="en-US" w:eastAsia="zh-CN"/>
        </w:rPr>
        <w:t xml:space="preserve"> </w:t>
      </w:r>
      <w:r>
        <w:rPr>
          <w:rFonts w:hint="default"/>
          <w:color w:val="auto"/>
          <w:highlight w:val="none"/>
          <w:lang w:val="en-US" w:eastAsia="zh-CN"/>
        </w:rPr>
        <w:t>“</w:t>
      </w:r>
      <w:r>
        <w:rPr>
          <w:rFonts w:hint="eastAsia"/>
          <w:color w:val="auto"/>
          <w:highlight w:val="none"/>
          <w:lang w:val="en-US" w:eastAsia="zh-CN"/>
        </w:rPr>
        <w:t>Revised WID: Requirement for NR frequency range 2 (FR2) multi-Rx chain DL reception</w:t>
      </w:r>
      <w:r>
        <w:rPr>
          <w:rFonts w:hint="default"/>
          <w:color w:val="auto"/>
          <w:highlight w:val="none"/>
          <w:lang w:val="en-US" w:eastAsia="zh-CN"/>
        </w:rPr>
        <w:t>”</w:t>
      </w:r>
      <w:r>
        <w:rPr>
          <w:rFonts w:hint="eastAsia"/>
          <w:color w:val="auto"/>
          <w:highlight w:val="none"/>
          <w:lang w:val="en-US" w:eastAsia="zh-CN"/>
        </w:rPr>
        <w:t>, Qualcomm Incorporated.</w:t>
      </w:r>
    </w:p>
    <w:p>
      <w:pPr>
        <w:pStyle w:val="9"/>
        <w:numPr>
          <w:ilvl w:val="0"/>
          <w:numId w:val="10"/>
        </w:numPr>
        <w:ind w:leftChars="0"/>
        <w:rPr>
          <w:rFonts w:hint="default"/>
          <w:color w:val="auto"/>
          <w:highlight w:val="none"/>
          <w:lang w:val="en-US" w:eastAsia="zh-CN"/>
        </w:rPr>
      </w:pPr>
      <w:r>
        <w:rPr>
          <w:rFonts w:hint="eastAsia"/>
          <w:color w:val="auto"/>
          <w:highlight w:val="none"/>
          <w:lang w:val="en-US" w:eastAsia="zh-CN"/>
        </w:rPr>
        <w:t xml:space="preserve">R4-2213957 </w:t>
      </w:r>
      <w:r>
        <w:rPr>
          <w:rFonts w:hint="default"/>
          <w:color w:val="auto"/>
          <w:highlight w:val="none"/>
          <w:lang w:val="en-US" w:eastAsia="zh-CN"/>
        </w:rPr>
        <w:t>“Discussion on general RRM issues for simultaneous DL reception from different directions”</w:t>
      </w:r>
      <w:r>
        <w:rPr>
          <w:rFonts w:hint="eastAsia"/>
          <w:color w:val="auto"/>
          <w:highlight w:val="none"/>
          <w:lang w:val="en-US" w:eastAsia="zh-CN"/>
        </w:rPr>
        <w:t>, Ericsson.</w:t>
      </w:r>
    </w:p>
    <w:p>
      <w:pPr>
        <w:pStyle w:val="9"/>
        <w:numPr>
          <w:ilvl w:val="0"/>
          <w:numId w:val="0"/>
        </w:numPr>
        <w:ind w:leftChars="0"/>
        <w:rPr>
          <w:rFonts w:hint="default" w:eastAsia="宋体"/>
          <w:color w:val="auto"/>
          <w:lang w:val="en-US" w:eastAsia="zh-CN"/>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8598846"/>
    <w:multiLevelType w:val="singleLevel"/>
    <w:tmpl w:val="88598846"/>
    <w:lvl w:ilvl="0" w:tentative="0">
      <w:start w:val="1"/>
      <w:numFmt w:val="decimal"/>
      <w:suff w:val="space"/>
      <w:lvlText w:val="%1)"/>
      <w:lvlJc w:val="left"/>
    </w:lvl>
  </w:abstractNum>
  <w:abstractNum w:abstractNumId="1">
    <w:nsid w:val="A8E5EB3A"/>
    <w:multiLevelType w:val="singleLevel"/>
    <w:tmpl w:val="A8E5EB3A"/>
    <w:lvl w:ilvl="0" w:tentative="0">
      <w:start w:val="1"/>
      <w:numFmt w:val="decimal"/>
      <w:suff w:val="space"/>
      <w:lvlText w:val="[%1]"/>
      <w:lvlJc w:val="left"/>
    </w:lvl>
  </w:abstractNum>
  <w:abstractNum w:abstractNumId="2">
    <w:nsid w:val="E33E021C"/>
    <w:multiLevelType w:val="singleLevel"/>
    <w:tmpl w:val="E33E021C"/>
    <w:lvl w:ilvl="0" w:tentative="0">
      <w:start w:val="1"/>
      <w:numFmt w:val="bullet"/>
      <w:lvlText w:val=""/>
      <w:lvlJc w:val="left"/>
      <w:pPr>
        <w:ind w:left="420" w:hanging="420"/>
      </w:pPr>
      <w:rPr>
        <w:rFonts w:hint="default" w:ascii="Wingdings" w:hAnsi="Wingdings"/>
      </w:rPr>
    </w:lvl>
  </w:abstractNum>
  <w:abstractNum w:abstractNumId="3">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4">
    <w:nsid w:val="27C32FD6"/>
    <w:multiLevelType w:val="multilevel"/>
    <w:tmpl w:val="27C32FD6"/>
    <w:lvl w:ilvl="0" w:tentative="0">
      <w:start w:val="1"/>
      <w:numFmt w:val="bullet"/>
      <w:lvlText w:val=""/>
      <w:lvlJc w:val="left"/>
      <w:pPr>
        <w:ind w:left="1140" w:hanging="420"/>
      </w:pPr>
      <w:rPr>
        <w:rFonts w:hint="default" w:ascii="Wingdings" w:hAnsi="Wingdings"/>
      </w:rPr>
    </w:lvl>
    <w:lvl w:ilvl="1" w:tentative="0">
      <w:start w:val="1"/>
      <w:numFmt w:val="bullet"/>
      <w:lvlText w:val=""/>
      <w:lvlJc w:val="left"/>
      <w:pPr>
        <w:ind w:left="1560" w:hanging="420"/>
      </w:pPr>
      <w:rPr>
        <w:rFonts w:hint="default" w:ascii="Wingdings" w:hAnsi="Wingdings"/>
      </w:rPr>
    </w:lvl>
    <w:lvl w:ilvl="2" w:tentative="0">
      <w:start w:val="1"/>
      <w:numFmt w:val="bullet"/>
      <w:lvlText w:val=""/>
      <w:lvlJc w:val="left"/>
      <w:pPr>
        <w:ind w:left="1980" w:hanging="420"/>
      </w:pPr>
      <w:rPr>
        <w:rFonts w:hint="default" w:ascii="Wingdings" w:hAnsi="Wingdings"/>
      </w:rPr>
    </w:lvl>
    <w:lvl w:ilvl="3" w:tentative="0">
      <w:start w:val="1"/>
      <w:numFmt w:val="bullet"/>
      <w:lvlText w:val=""/>
      <w:lvlJc w:val="left"/>
      <w:pPr>
        <w:ind w:left="2400" w:hanging="420"/>
      </w:pPr>
      <w:rPr>
        <w:rFonts w:hint="default" w:ascii="Wingdings" w:hAnsi="Wingdings"/>
      </w:rPr>
    </w:lvl>
    <w:lvl w:ilvl="4" w:tentative="0">
      <w:start w:val="1"/>
      <w:numFmt w:val="bullet"/>
      <w:lvlText w:val=""/>
      <w:lvlJc w:val="left"/>
      <w:pPr>
        <w:ind w:left="2820" w:hanging="420"/>
      </w:pPr>
      <w:rPr>
        <w:rFonts w:hint="default" w:ascii="Wingdings" w:hAnsi="Wingdings"/>
      </w:rPr>
    </w:lvl>
    <w:lvl w:ilvl="5" w:tentative="0">
      <w:start w:val="1"/>
      <w:numFmt w:val="bullet"/>
      <w:lvlText w:val=""/>
      <w:lvlJc w:val="left"/>
      <w:pPr>
        <w:ind w:left="3240" w:hanging="420"/>
      </w:pPr>
      <w:rPr>
        <w:rFonts w:hint="default" w:ascii="Wingdings" w:hAnsi="Wingdings"/>
      </w:rPr>
    </w:lvl>
    <w:lvl w:ilvl="6" w:tentative="0">
      <w:start w:val="1"/>
      <w:numFmt w:val="bullet"/>
      <w:lvlText w:val=""/>
      <w:lvlJc w:val="left"/>
      <w:pPr>
        <w:ind w:left="3660" w:hanging="420"/>
      </w:pPr>
      <w:rPr>
        <w:rFonts w:hint="default" w:ascii="Wingdings" w:hAnsi="Wingdings"/>
      </w:rPr>
    </w:lvl>
    <w:lvl w:ilvl="7" w:tentative="0">
      <w:start w:val="1"/>
      <w:numFmt w:val="bullet"/>
      <w:lvlText w:val=""/>
      <w:lvlJc w:val="left"/>
      <w:pPr>
        <w:ind w:left="4080" w:hanging="420"/>
      </w:pPr>
      <w:rPr>
        <w:rFonts w:hint="default" w:ascii="Wingdings" w:hAnsi="Wingdings"/>
      </w:rPr>
    </w:lvl>
    <w:lvl w:ilvl="8" w:tentative="0">
      <w:start w:val="1"/>
      <w:numFmt w:val="bullet"/>
      <w:lvlText w:val=""/>
      <w:lvlJc w:val="left"/>
      <w:pPr>
        <w:ind w:left="4500" w:hanging="420"/>
      </w:pPr>
      <w:rPr>
        <w:rFonts w:hint="default" w:ascii="Wingdings" w:hAnsi="Wingdings"/>
      </w:rPr>
    </w:lvl>
  </w:abstractNum>
  <w:abstractNum w:abstractNumId="5">
    <w:nsid w:val="2C5216CA"/>
    <w:multiLevelType w:val="singleLevel"/>
    <w:tmpl w:val="2C5216CA"/>
    <w:lvl w:ilvl="0" w:tentative="0">
      <w:start w:val="1"/>
      <w:numFmt w:val="decimal"/>
      <w:suff w:val="space"/>
      <w:lvlText w:val="%1)"/>
      <w:lvlJc w:val="left"/>
    </w:lvl>
  </w:abstractNum>
  <w:abstractNum w:abstractNumId="6">
    <w:nsid w:val="39AA6672"/>
    <w:multiLevelType w:val="multilevel"/>
    <w:tmpl w:val="39AA6672"/>
    <w:lvl w:ilvl="0" w:tentative="0">
      <w:start w:val="1"/>
      <w:numFmt w:val="bullet"/>
      <w:lvlText w:val="•"/>
      <w:lvlJc w:val="left"/>
      <w:pPr>
        <w:tabs>
          <w:tab w:val="left" w:pos="360"/>
        </w:tabs>
        <w:ind w:left="360" w:hanging="360"/>
      </w:pPr>
      <w:rPr>
        <w:rFonts w:hint="default" w:ascii="Arial" w:hAnsi="Arial"/>
      </w:rPr>
    </w:lvl>
    <w:lvl w:ilvl="1" w:tentative="0">
      <w:start w:val="1"/>
      <w:numFmt w:val="bullet"/>
      <w:lvlText w:val="•"/>
      <w:lvlJc w:val="left"/>
      <w:pPr>
        <w:tabs>
          <w:tab w:val="left" w:pos="1080"/>
        </w:tabs>
        <w:ind w:left="1080" w:hanging="360"/>
      </w:pPr>
      <w:rPr>
        <w:rFonts w:hint="default" w:ascii="Arial" w:hAnsi="Arial"/>
      </w:rPr>
    </w:lvl>
    <w:lvl w:ilvl="2" w:tentative="0">
      <w:start w:val="0"/>
      <w:numFmt w:val="bullet"/>
      <w:lvlText w:val="•"/>
      <w:lvlJc w:val="left"/>
      <w:pPr>
        <w:tabs>
          <w:tab w:val="left" w:pos="1800"/>
        </w:tabs>
        <w:ind w:left="1800" w:hanging="360"/>
      </w:pPr>
      <w:rPr>
        <w:rFonts w:hint="default" w:ascii="Arial" w:hAnsi="Arial"/>
      </w:rPr>
    </w:lvl>
    <w:lvl w:ilvl="3" w:tentative="0">
      <w:start w:val="0"/>
      <w:numFmt w:val="bullet"/>
      <w:lvlText w:val="–"/>
      <w:lvlJc w:val="left"/>
      <w:pPr>
        <w:tabs>
          <w:tab w:val="left" w:pos="2520"/>
        </w:tabs>
        <w:ind w:left="2520" w:hanging="360"/>
      </w:pPr>
      <w:rPr>
        <w:rFonts w:hint="default" w:ascii="Arial" w:hAnsi="Arial"/>
      </w:rPr>
    </w:lvl>
    <w:lvl w:ilvl="4" w:tentative="0">
      <w:start w:val="0"/>
      <w:numFmt w:val="bullet"/>
      <w:lvlText w:val="»"/>
      <w:lvlJc w:val="left"/>
      <w:pPr>
        <w:tabs>
          <w:tab w:val="left" w:pos="3240"/>
        </w:tabs>
        <w:ind w:left="3240" w:hanging="360"/>
      </w:pPr>
      <w:rPr>
        <w:rFonts w:hint="default" w:ascii="Arial" w:hAnsi="Arial"/>
      </w:rPr>
    </w:lvl>
    <w:lvl w:ilvl="5" w:tentative="0">
      <w:start w:val="1"/>
      <w:numFmt w:val="bullet"/>
      <w:lvlText w:val="•"/>
      <w:lvlJc w:val="left"/>
      <w:pPr>
        <w:tabs>
          <w:tab w:val="left" w:pos="3960"/>
        </w:tabs>
        <w:ind w:left="3960" w:hanging="360"/>
      </w:pPr>
      <w:rPr>
        <w:rFonts w:hint="default" w:ascii="Arial" w:hAnsi="Arial"/>
      </w:rPr>
    </w:lvl>
    <w:lvl w:ilvl="6" w:tentative="0">
      <w:start w:val="1"/>
      <w:numFmt w:val="bullet"/>
      <w:lvlText w:val="•"/>
      <w:lvlJc w:val="left"/>
      <w:pPr>
        <w:tabs>
          <w:tab w:val="left" w:pos="4680"/>
        </w:tabs>
        <w:ind w:left="4680" w:hanging="360"/>
      </w:pPr>
      <w:rPr>
        <w:rFonts w:hint="default" w:ascii="Arial" w:hAnsi="Arial"/>
      </w:rPr>
    </w:lvl>
    <w:lvl w:ilvl="7" w:tentative="0">
      <w:start w:val="1"/>
      <w:numFmt w:val="bullet"/>
      <w:lvlText w:val="•"/>
      <w:lvlJc w:val="left"/>
      <w:pPr>
        <w:tabs>
          <w:tab w:val="left" w:pos="5400"/>
        </w:tabs>
        <w:ind w:left="5400" w:hanging="360"/>
      </w:pPr>
      <w:rPr>
        <w:rFonts w:hint="default" w:ascii="Arial" w:hAnsi="Arial"/>
      </w:rPr>
    </w:lvl>
    <w:lvl w:ilvl="8" w:tentative="0">
      <w:start w:val="1"/>
      <w:numFmt w:val="bullet"/>
      <w:lvlText w:val="•"/>
      <w:lvlJc w:val="left"/>
      <w:pPr>
        <w:tabs>
          <w:tab w:val="left" w:pos="6120"/>
        </w:tabs>
        <w:ind w:left="6120" w:hanging="360"/>
      </w:pPr>
      <w:rPr>
        <w:rFonts w:hint="default" w:ascii="Arial" w:hAnsi="Arial"/>
      </w:rPr>
    </w:lvl>
  </w:abstractNum>
  <w:abstractNum w:abstractNumId="7">
    <w:nsid w:val="4D6E3167"/>
    <w:multiLevelType w:val="multilevel"/>
    <w:tmpl w:val="4D6E3167"/>
    <w:lvl w:ilvl="0" w:tentative="0">
      <w:start w:val="1"/>
      <w:numFmt w:val="decimal"/>
      <w:pStyle w:val="41"/>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8">
    <w:nsid w:val="4F53B69B"/>
    <w:multiLevelType w:val="singleLevel"/>
    <w:tmpl w:val="4F53B69B"/>
    <w:lvl w:ilvl="0" w:tentative="0">
      <w:start w:val="1"/>
      <w:numFmt w:val="bullet"/>
      <w:lvlText w:val=""/>
      <w:lvlJc w:val="left"/>
      <w:pPr>
        <w:tabs>
          <w:tab w:val="left" w:pos="420"/>
        </w:tabs>
        <w:ind w:left="840" w:hanging="420"/>
      </w:pPr>
      <w:rPr>
        <w:rFonts w:hint="default" w:ascii="Wingdings" w:hAnsi="Wingdings"/>
      </w:rPr>
    </w:lvl>
  </w:abstractNum>
  <w:abstractNum w:abstractNumId="9">
    <w:nsid w:val="6B5B4F67"/>
    <w:multiLevelType w:val="multilevel"/>
    <w:tmpl w:val="6B5B4F67"/>
    <w:lvl w:ilvl="0" w:tentative="0">
      <w:start w:val="1"/>
      <w:numFmt w:val="decimal"/>
      <w:pStyle w:val="9"/>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9"/>
  </w:num>
  <w:num w:numId="2">
    <w:abstractNumId w:val="7"/>
  </w:num>
  <w:num w:numId="3">
    <w:abstractNumId w:val="3"/>
  </w:num>
  <w:num w:numId="4">
    <w:abstractNumId w:val="6"/>
  </w:num>
  <w:num w:numId="5">
    <w:abstractNumId w:val="4"/>
  </w:num>
  <w:num w:numId="6">
    <w:abstractNumId w:val="8"/>
  </w:num>
  <w:num w:numId="7">
    <w:abstractNumId w:val="5"/>
  </w:num>
  <w:num w:numId="8">
    <w:abstractNumId w:val="2"/>
  </w:num>
  <w:num w:numId="9">
    <w:abstractNumId w:val="0"/>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35D"/>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2EA"/>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2122247"/>
    <w:rsid w:val="022C3A09"/>
    <w:rsid w:val="028B6A1D"/>
    <w:rsid w:val="028F1C3E"/>
    <w:rsid w:val="03674F47"/>
    <w:rsid w:val="037D0CB3"/>
    <w:rsid w:val="03D4720A"/>
    <w:rsid w:val="03E04DEA"/>
    <w:rsid w:val="04654053"/>
    <w:rsid w:val="04793516"/>
    <w:rsid w:val="047A3CFF"/>
    <w:rsid w:val="04885243"/>
    <w:rsid w:val="05317828"/>
    <w:rsid w:val="05477E90"/>
    <w:rsid w:val="054F45A7"/>
    <w:rsid w:val="05BB5AB9"/>
    <w:rsid w:val="05C42923"/>
    <w:rsid w:val="05F562DB"/>
    <w:rsid w:val="06963BA6"/>
    <w:rsid w:val="06965F3C"/>
    <w:rsid w:val="07CD3CDD"/>
    <w:rsid w:val="084B363C"/>
    <w:rsid w:val="0855671D"/>
    <w:rsid w:val="089009EB"/>
    <w:rsid w:val="09716BCA"/>
    <w:rsid w:val="098C1CEA"/>
    <w:rsid w:val="09D64B23"/>
    <w:rsid w:val="09E644B8"/>
    <w:rsid w:val="0B12013A"/>
    <w:rsid w:val="0B1C5C6A"/>
    <w:rsid w:val="0B243EFB"/>
    <w:rsid w:val="0B3D3C2F"/>
    <w:rsid w:val="0B5D15B4"/>
    <w:rsid w:val="0BAC06FA"/>
    <w:rsid w:val="0BB0429A"/>
    <w:rsid w:val="0BFF5FC6"/>
    <w:rsid w:val="0C276675"/>
    <w:rsid w:val="0C394019"/>
    <w:rsid w:val="0EC91588"/>
    <w:rsid w:val="0F8009F9"/>
    <w:rsid w:val="10997F43"/>
    <w:rsid w:val="10DE7BAE"/>
    <w:rsid w:val="11023BFD"/>
    <w:rsid w:val="110404BB"/>
    <w:rsid w:val="111C20F6"/>
    <w:rsid w:val="11ED345F"/>
    <w:rsid w:val="120774A3"/>
    <w:rsid w:val="12580C13"/>
    <w:rsid w:val="14006D19"/>
    <w:rsid w:val="1414436B"/>
    <w:rsid w:val="1481754F"/>
    <w:rsid w:val="148F5721"/>
    <w:rsid w:val="14AC57CD"/>
    <w:rsid w:val="15ED3E9B"/>
    <w:rsid w:val="164514BE"/>
    <w:rsid w:val="170F06AA"/>
    <w:rsid w:val="17225508"/>
    <w:rsid w:val="180A6E32"/>
    <w:rsid w:val="183F2CD2"/>
    <w:rsid w:val="1856323E"/>
    <w:rsid w:val="18AF55E3"/>
    <w:rsid w:val="18B1519A"/>
    <w:rsid w:val="18CD0507"/>
    <w:rsid w:val="195D7D48"/>
    <w:rsid w:val="19852D03"/>
    <w:rsid w:val="1A6F1A83"/>
    <w:rsid w:val="1AD01A1B"/>
    <w:rsid w:val="1B61065A"/>
    <w:rsid w:val="1BBF3927"/>
    <w:rsid w:val="1C177B08"/>
    <w:rsid w:val="1C9001C6"/>
    <w:rsid w:val="1CBA2101"/>
    <w:rsid w:val="1D0573D7"/>
    <w:rsid w:val="1D153DC4"/>
    <w:rsid w:val="1D223E0B"/>
    <w:rsid w:val="1D3A54CD"/>
    <w:rsid w:val="1DF33EB1"/>
    <w:rsid w:val="1E132F88"/>
    <w:rsid w:val="1E2867E9"/>
    <w:rsid w:val="1E853F6F"/>
    <w:rsid w:val="1E9C7BCC"/>
    <w:rsid w:val="1ECC1E3C"/>
    <w:rsid w:val="1FFD4083"/>
    <w:rsid w:val="202F3D4C"/>
    <w:rsid w:val="21014C39"/>
    <w:rsid w:val="21045DF0"/>
    <w:rsid w:val="21244EB1"/>
    <w:rsid w:val="213964D8"/>
    <w:rsid w:val="21595D04"/>
    <w:rsid w:val="21835807"/>
    <w:rsid w:val="21F13629"/>
    <w:rsid w:val="2305377E"/>
    <w:rsid w:val="231A76D5"/>
    <w:rsid w:val="24122135"/>
    <w:rsid w:val="24D4257E"/>
    <w:rsid w:val="24F5519F"/>
    <w:rsid w:val="2572202B"/>
    <w:rsid w:val="2605683C"/>
    <w:rsid w:val="26661176"/>
    <w:rsid w:val="26BB1419"/>
    <w:rsid w:val="27315D1D"/>
    <w:rsid w:val="27B748AA"/>
    <w:rsid w:val="27CB4CB9"/>
    <w:rsid w:val="281C2F58"/>
    <w:rsid w:val="292D5BF2"/>
    <w:rsid w:val="292F6239"/>
    <w:rsid w:val="29642C4B"/>
    <w:rsid w:val="29A66B9A"/>
    <w:rsid w:val="2A34628C"/>
    <w:rsid w:val="2A724D05"/>
    <w:rsid w:val="2A7E505C"/>
    <w:rsid w:val="2AC85686"/>
    <w:rsid w:val="2AD04B5F"/>
    <w:rsid w:val="2B39549B"/>
    <w:rsid w:val="2BC05B2C"/>
    <w:rsid w:val="2BD617C5"/>
    <w:rsid w:val="2C112837"/>
    <w:rsid w:val="2C360608"/>
    <w:rsid w:val="2E014790"/>
    <w:rsid w:val="2EE77680"/>
    <w:rsid w:val="2F2F0FC8"/>
    <w:rsid w:val="301C6BB6"/>
    <w:rsid w:val="30723652"/>
    <w:rsid w:val="30766FB2"/>
    <w:rsid w:val="319708F2"/>
    <w:rsid w:val="31B14C9E"/>
    <w:rsid w:val="31FE2981"/>
    <w:rsid w:val="33C522D7"/>
    <w:rsid w:val="33F228A5"/>
    <w:rsid w:val="34807672"/>
    <w:rsid w:val="351B1E30"/>
    <w:rsid w:val="358E5935"/>
    <w:rsid w:val="35B06C6A"/>
    <w:rsid w:val="36941AA2"/>
    <w:rsid w:val="36D37423"/>
    <w:rsid w:val="379D23F9"/>
    <w:rsid w:val="37E74183"/>
    <w:rsid w:val="3A185287"/>
    <w:rsid w:val="3A1F46B8"/>
    <w:rsid w:val="3A692CD0"/>
    <w:rsid w:val="3B270929"/>
    <w:rsid w:val="3B3D5571"/>
    <w:rsid w:val="3B5D276F"/>
    <w:rsid w:val="3B673620"/>
    <w:rsid w:val="3B9A1F29"/>
    <w:rsid w:val="3CE4646B"/>
    <w:rsid w:val="3D5E7AA8"/>
    <w:rsid w:val="3D6F2596"/>
    <w:rsid w:val="405F175E"/>
    <w:rsid w:val="40C765F3"/>
    <w:rsid w:val="41C755BE"/>
    <w:rsid w:val="42F869D2"/>
    <w:rsid w:val="43553536"/>
    <w:rsid w:val="44972678"/>
    <w:rsid w:val="451632B9"/>
    <w:rsid w:val="45906394"/>
    <w:rsid w:val="45F60A50"/>
    <w:rsid w:val="46142D0C"/>
    <w:rsid w:val="46970A81"/>
    <w:rsid w:val="46B036BF"/>
    <w:rsid w:val="47282363"/>
    <w:rsid w:val="476B3528"/>
    <w:rsid w:val="47C726B0"/>
    <w:rsid w:val="49DC4EAC"/>
    <w:rsid w:val="49E55BC5"/>
    <w:rsid w:val="4C1C63D6"/>
    <w:rsid w:val="4C864A35"/>
    <w:rsid w:val="4E015C76"/>
    <w:rsid w:val="4E310026"/>
    <w:rsid w:val="4E4A2325"/>
    <w:rsid w:val="4E702749"/>
    <w:rsid w:val="4EC85323"/>
    <w:rsid w:val="4EDB3464"/>
    <w:rsid w:val="501A6C55"/>
    <w:rsid w:val="51234069"/>
    <w:rsid w:val="51B14BED"/>
    <w:rsid w:val="52526454"/>
    <w:rsid w:val="525C1CEF"/>
    <w:rsid w:val="528B5767"/>
    <w:rsid w:val="52A77D4F"/>
    <w:rsid w:val="52D33625"/>
    <w:rsid w:val="52FD1C01"/>
    <w:rsid w:val="52FD33B4"/>
    <w:rsid w:val="5372021A"/>
    <w:rsid w:val="53A3105E"/>
    <w:rsid w:val="53C64B93"/>
    <w:rsid w:val="548A6C60"/>
    <w:rsid w:val="54E07F19"/>
    <w:rsid w:val="55B1164D"/>
    <w:rsid w:val="55B4735E"/>
    <w:rsid w:val="55BB221D"/>
    <w:rsid w:val="56371459"/>
    <w:rsid w:val="56484633"/>
    <w:rsid w:val="58D0053D"/>
    <w:rsid w:val="59064002"/>
    <w:rsid w:val="598C40A0"/>
    <w:rsid w:val="59DA647E"/>
    <w:rsid w:val="5A556E1A"/>
    <w:rsid w:val="5C1166E3"/>
    <w:rsid w:val="5E2864D0"/>
    <w:rsid w:val="5E494511"/>
    <w:rsid w:val="5EB44FC0"/>
    <w:rsid w:val="5EB81F13"/>
    <w:rsid w:val="5EDA64BC"/>
    <w:rsid w:val="5FBA395F"/>
    <w:rsid w:val="60B92183"/>
    <w:rsid w:val="60EC2CBA"/>
    <w:rsid w:val="61CC2D28"/>
    <w:rsid w:val="630C63B9"/>
    <w:rsid w:val="635902CD"/>
    <w:rsid w:val="642A3E76"/>
    <w:rsid w:val="645E1DDB"/>
    <w:rsid w:val="64706BBE"/>
    <w:rsid w:val="64F2095B"/>
    <w:rsid w:val="65267327"/>
    <w:rsid w:val="65532E66"/>
    <w:rsid w:val="65D63F94"/>
    <w:rsid w:val="67A858DB"/>
    <w:rsid w:val="67FE4166"/>
    <w:rsid w:val="68AD2162"/>
    <w:rsid w:val="68C401C3"/>
    <w:rsid w:val="69045D7F"/>
    <w:rsid w:val="693027BF"/>
    <w:rsid w:val="6968769B"/>
    <w:rsid w:val="69831B57"/>
    <w:rsid w:val="69A833BD"/>
    <w:rsid w:val="6A5D78D5"/>
    <w:rsid w:val="6A85354A"/>
    <w:rsid w:val="6C8E0C06"/>
    <w:rsid w:val="6D566F0F"/>
    <w:rsid w:val="6D836F72"/>
    <w:rsid w:val="6DDE3DAF"/>
    <w:rsid w:val="6E2C7D5B"/>
    <w:rsid w:val="6E3241BE"/>
    <w:rsid w:val="6EB97A9D"/>
    <w:rsid w:val="6EF10A90"/>
    <w:rsid w:val="6FD45BF8"/>
    <w:rsid w:val="6FFF1868"/>
    <w:rsid w:val="71507435"/>
    <w:rsid w:val="715F4C2D"/>
    <w:rsid w:val="722F78FB"/>
    <w:rsid w:val="723D67C5"/>
    <w:rsid w:val="7250627B"/>
    <w:rsid w:val="72BF60CA"/>
    <w:rsid w:val="72F41282"/>
    <w:rsid w:val="733D0D32"/>
    <w:rsid w:val="73D411F1"/>
    <w:rsid w:val="753811DE"/>
    <w:rsid w:val="757733D9"/>
    <w:rsid w:val="75A7114C"/>
    <w:rsid w:val="75BE67D4"/>
    <w:rsid w:val="75C2004C"/>
    <w:rsid w:val="75C759C1"/>
    <w:rsid w:val="760F5DAE"/>
    <w:rsid w:val="762D64F3"/>
    <w:rsid w:val="766548AD"/>
    <w:rsid w:val="767E7EFF"/>
    <w:rsid w:val="775B4604"/>
    <w:rsid w:val="77C067C3"/>
    <w:rsid w:val="78911E31"/>
    <w:rsid w:val="7922350F"/>
    <w:rsid w:val="792B5470"/>
    <w:rsid w:val="79C637D8"/>
    <w:rsid w:val="7A9367CB"/>
    <w:rsid w:val="7AF22571"/>
    <w:rsid w:val="7B69224B"/>
    <w:rsid w:val="7BE80F25"/>
    <w:rsid w:val="7C1C35A7"/>
    <w:rsid w:val="7C45431D"/>
    <w:rsid w:val="7D243E1C"/>
    <w:rsid w:val="7D3219D5"/>
    <w:rsid w:val="7DDD0501"/>
    <w:rsid w:val="7DE51372"/>
    <w:rsid w:val="7E5E590F"/>
    <w:rsid w:val="7E935AFB"/>
    <w:rsid w:val="7FC90A85"/>
    <w:rsid w:val="7FD02878"/>
    <w:rsid w:val="7FF73C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20"/>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1"/>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48"/>
    <w:unhideWhenUsed/>
    <w:qFormat/>
    <w:uiPriority w:val="9"/>
    <w:pPr>
      <w:keepNext/>
      <w:keepLines/>
      <w:spacing w:before="260" w:after="260" w:line="416" w:lineRule="auto"/>
      <w:outlineLvl w:val="2"/>
    </w:pPr>
    <w:rPr>
      <w:sz w:val="32"/>
      <w:szCs w:val="32"/>
    </w:rPr>
  </w:style>
  <w:style w:type="character" w:default="1" w:styleId="18">
    <w:name w:val="Default Paragraph Font"/>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5">
    <w:name w:val="caption"/>
    <w:basedOn w:val="1"/>
    <w:next w:val="1"/>
    <w:unhideWhenUsed/>
    <w:qFormat/>
    <w:uiPriority w:val="35"/>
    <w:rPr>
      <w:rFonts w:ascii="Cambria" w:hAnsi="Cambria" w:eastAsia="黑体"/>
      <w:szCs w:val="20"/>
    </w:rPr>
  </w:style>
  <w:style w:type="paragraph" w:styleId="6">
    <w:name w:val="Document Map"/>
    <w:basedOn w:val="1"/>
    <w:link w:val="28"/>
    <w:semiHidden/>
    <w:unhideWhenUsed/>
    <w:qFormat/>
    <w:uiPriority w:val="99"/>
    <w:rPr>
      <w:rFonts w:ascii="宋体" w:eastAsia="宋体"/>
      <w:sz w:val="18"/>
      <w:szCs w:val="18"/>
    </w:rPr>
  </w:style>
  <w:style w:type="paragraph" w:styleId="7">
    <w:name w:val="annotation text"/>
    <w:basedOn w:val="1"/>
    <w:semiHidden/>
    <w:unhideWhenUsed/>
    <w:qFormat/>
    <w:uiPriority w:val="0"/>
    <w:pPr>
      <w:jc w:val="left"/>
    </w:pPr>
  </w:style>
  <w:style w:type="paragraph" w:styleId="8">
    <w:name w:val="Body Text"/>
    <w:basedOn w:val="1"/>
    <w:link w:val="22"/>
    <w:qFormat/>
    <w:uiPriority w:val="0"/>
    <w:pPr>
      <w:spacing w:after="120"/>
      <w:jc w:val="both"/>
    </w:pPr>
    <w:rPr>
      <w:rFonts w:eastAsia="MS Mincho"/>
      <w:lang w:val="zh-CN"/>
    </w:rPr>
  </w:style>
  <w:style w:type="paragraph" w:styleId="9">
    <w:name w:val="List 2"/>
    <w:basedOn w:val="10"/>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0">
    <w:name w:val="List"/>
    <w:basedOn w:val="1"/>
    <w:semiHidden/>
    <w:unhideWhenUsed/>
    <w:qFormat/>
    <w:uiPriority w:val="99"/>
    <w:pPr>
      <w:ind w:left="200" w:hanging="200" w:hangingChars="200"/>
      <w:contextualSpacing/>
    </w:pPr>
  </w:style>
  <w:style w:type="paragraph" w:styleId="11">
    <w:name w:val="Date"/>
    <w:basedOn w:val="1"/>
    <w:next w:val="1"/>
    <w:link w:val="45"/>
    <w:semiHidden/>
    <w:unhideWhenUsed/>
    <w:qFormat/>
    <w:uiPriority w:val="99"/>
    <w:pPr>
      <w:ind w:left="100" w:leftChars="2500"/>
    </w:pPr>
  </w:style>
  <w:style w:type="paragraph" w:styleId="12">
    <w:name w:val="Balloon Text"/>
    <w:basedOn w:val="1"/>
    <w:link w:val="26"/>
    <w:semiHidden/>
    <w:unhideWhenUsed/>
    <w:qFormat/>
    <w:uiPriority w:val="99"/>
    <w:rPr>
      <w:sz w:val="18"/>
      <w:szCs w:val="18"/>
      <w:lang w:val="zh-CN"/>
    </w:rPr>
  </w:style>
  <w:style w:type="paragraph" w:styleId="13">
    <w:name w:val="footer"/>
    <w:basedOn w:val="1"/>
    <w:link w:val="25"/>
    <w:unhideWhenUsed/>
    <w:qFormat/>
    <w:uiPriority w:val="99"/>
    <w:pPr>
      <w:tabs>
        <w:tab w:val="center" w:pos="4153"/>
        <w:tab w:val="right" w:pos="8306"/>
      </w:tabs>
      <w:snapToGrid w:val="0"/>
    </w:pPr>
    <w:rPr>
      <w:sz w:val="18"/>
      <w:szCs w:val="18"/>
      <w:lang w:val="zh-CN"/>
    </w:rPr>
  </w:style>
  <w:style w:type="paragraph" w:styleId="14">
    <w:name w:val="header"/>
    <w:basedOn w:val="1"/>
    <w:link w:val="23"/>
    <w:qFormat/>
    <w:uiPriority w:val="0"/>
    <w:pPr>
      <w:tabs>
        <w:tab w:val="center" w:pos="4536"/>
        <w:tab w:val="right" w:pos="9072"/>
      </w:tabs>
    </w:pPr>
    <w:rPr>
      <w:rFonts w:ascii="Arial" w:hAnsi="Arial" w:eastAsia="MS Mincho"/>
      <w:b/>
      <w:lang w:val="zh-CN"/>
    </w:rPr>
  </w:style>
  <w:style w:type="paragraph" w:styleId="15">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7">
    <w:name w:val="Table Grid"/>
    <w:basedOn w:val="1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Hyperlink"/>
    <w:qFormat/>
    <w:uiPriority w:val="99"/>
    <w:rPr>
      <w:color w:val="0000FF"/>
      <w:u w:val="single"/>
    </w:rPr>
  </w:style>
  <w:style w:type="character" w:customStyle="1" w:styleId="20">
    <w:name w:val="Heading 1 Char"/>
    <w:link w:val="2"/>
    <w:qFormat/>
    <w:uiPriority w:val="0"/>
    <w:rPr>
      <w:rFonts w:ascii="Helvetica" w:hAnsi="Helvetica" w:eastAsia="MS Mincho" w:cs="Times New Roman"/>
      <w:b/>
      <w:bCs/>
      <w:kern w:val="32"/>
      <w:sz w:val="28"/>
      <w:szCs w:val="32"/>
      <w:lang w:val="zh-CN" w:eastAsia="en-US"/>
    </w:rPr>
  </w:style>
  <w:style w:type="character" w:customStyle="1" w:styleId="21">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2">
    <w:name w:val="Body Text Char"/>
    <w:link w:val="8"/>
    <w:qFormat/>
    <w:uiPriority w:val="0"/>
    <w:rPr>
      <w:rFonts w:ascii="Times New Roman" w:hAnsi="Times New Roman" w:eastAsia="MS Mincho" w:cs="Times New Roman"/>
      <w:kern w:val="0"/>
      <w:sz w:val="20"/>
      <w:szCs w:val="24"/>
      <w:lang w:val="zh-CN" w:eastAsia="en-US"/>
    </w:rPr>
  </w:style>
  <w:style w:type="character" w:customStyle="1" w:styleId="23">
    <w:name w:val="Header Char"/>
    <w:link w:val="14"/>
    <w:qFormat/>
    <w:uiPriority w:val="0"/>
    <w:rPr>
      <w:rFonts w:ascii="Arial" w:hAnsi="Arial" w:eastAsia="MS Mincho" w:cs="Times New Roman"/>
      <w:b/>
      <w:kern w:val="0"/>
      <w:sz w:val="20"/>
      <w:szCs w:val="24"/>
      <w:lang w:val="zh-CN" w:eastAsia="en-US"/>
    </w:rPr>
  </w:style>
  <w:style w:type="paragraph" w:customStyle="1" w:styleId="24">
    <w:name w:val="Paragraphe de liste"/>
    <w:basedOn w:val="1"/>
    <w:qFormat/>
    <w:uiPriority w:val="34"/>
    <w:pPr>
      <w:ind w:left="720"/>
    </w:pPr>
    <w:rPr>
      <w:rFonts w:eastAsia="宋体"/>
      <w:sz w:val="24"/>
      <w:lang w:val="fr-FR" w:eastAsia="zh-CN"/>
    </w:rPr>
  </w:style>
  <w:style w:type="character" w:customStyle="1" w:styleId="25">
    <w:name w:val="Footer Char"/>
    <w:link w:val="13"/>
    <w:qFormat/>
    <w:uiPriority w:val="99"/>
    <w:rPr>
      <w:rFonts w:ascii="Times New Roman" w:hAnsi="Times New Roman" w:eastAsia="Times New Roman" w:cs="Times New Roman"/>
      <w:kern w:val="0"/>
      <w:sz w:val="18"/>
      <w:szCs w:val="18"/>
      <w:lang w:eastAsia="en-US"/>
    </w:rPr>
  </w:style>
  <w:style w:type="character" w:customStyle="1" w:styleId="26">
    <w:name w:val="Balloon Text Char"/>
    <w:link w:val="12"/>
    <w:semiHidden/>
    <w:qFormat/>
    <w:uiPriority w:val="99"/>
    <w:rPr>
      <w:rFonts w:ascii="Times New Roman" w:hAnsi="Times New Roman" w:eastAsia="Times New Roman" w:cs="Times New Roman"/>
      <w:kern w:val="0"/>
      <w:sz w:val="18"/>
      <w:szCs w:val="18"/>
      <w:lang w:eastAsia="en-US"/>
    </w:rPr>
  </w:style>
  <w:style w:type="paragraph" w:styleId="27">
    <w:name w:val="List Paragraph"/>
    <w:basedOn w:val="1"/>
    <w:link w:val="43"/>
    <w:qFormat/>
    <w:uiPriority w:val="34"/>
    <w:pPr>
      <w:widowControl w:val="0"/>
      <w:ind w:firstLine="420" w:firstLineChars="200"/>
      <w:jc w:val="both"/>
    </w:pPr>
    <w:rPr>
      <w:rFonts w:ascii="Calibri" w:hAnsi="Calibri" w:eastAsia="宋体"/>
      <w:kern w:val="2"/>
      <w:sz w:val="21"/>
      <w:szCs w:val="22"/>
      <w:lang w:eastAsia="zh-CN"/>
    </w:rPr>
  </w:style>
  <w:style w:type="character" w:customStyle="1" w:styleId="28">
    <w:name w:val="Document Map Char"/>
    <w:link w:val="6"/>
    <w:semiHidden/>
    <w:qFormat/>
    <w:uiPriority w:val="99"/>
    <w:rPr>
      <w:rFonts w:ascii="宋体" w:hAnsi="Times New Roman"/>
      <w:sz w:val="18"/>
      <w:szCs w:val="18"/>
      <w:lang w:eastAsia="en-US"/>
    </w:rPr>
  </w:style>
  <w:style w:type="paragraph" w:customStyle="1" w:styleId="29">
    <w:name w:val="B1"/>
    <w:basedOn w:val="10"/>
    <w:link w:val="30"/>
    <w:qFormat/>
    <w:uiPriority w:val="0"/>
    <w:pPr>
      <w:spacing w:after="180"/>
      <w:ind w:left="568" w:hanging="284" w:firstLineChars="0"/>
      <w:contextualSpacing w:val="0"/>
    </w:pPr>
    <w:rPr>
      <w:rFonts w:eastAsia="宋体"/>
      <w:szCs w:val="20"/>
      <w:lang w:val="en-GB"/>
    </w:rPr>
  </w:style>
  <w:style w:type="character" w:customStyle="1" w:styleId="30">
    <w:name w:val="B1 (文字)"/>
    <w:link w:val="29"/>
    <w:qFormat/>
    <w:locked/>
    <w:uiPriority w:val="0"/>
    <w:rPr>
      <w:rFonts w:ascii="Times New Roman" w:hAnsi="Times New Roman"/>
      <w:lang w:val="en-GB" w:eastAsia="en-US"/>
    </w:rPr>
  </w:style>
  <w:style w:type="character" w:customStyle="1" w:styleId="31">
    <w:name w:val="B1 Char1"/>
    <w:qFormat/>
    <w:uiPriority w:val="0"/>
    <w:rPr>
      <w:lang w:val="en-GB" w:eastAsia="en-US"/>
    </w:rPr>
  </w:style>
  <w:style w:type="paragraph" w:customStyle="1" w:styleId="32">
    <w:name w:val="TAH"/>
    <w:basedOn w:val="33"/>
    <w:link w:val="38"/>
    <w:qFormat/>
    <w:uiPriority w:val="0"/>
    <w:rPr>
      <w:b/>
    </w:rPr>
  </w:style>
  <w:style w:type="paragraph" w:customStyle="1" w:styleId="33">
    <w:name w:val="TAC"/>
    <w:basedOn w:val="34"/>
    <w:link w:val="37"/>
    <w:qFormat/>
    <w:uiPriority w:val="0"/>
    <w:pPr>
      <w:keepNext/>
      <w:keepLines/>
      <w:jc w:val="center"/>
    </w:pPr>
    <w:rPr>
      <w:rFonts w:ascii="Arial" w:hAnsi="Arial" w:eastAsia="宋体"/>
      <w:sz w:val="18"/>
      <w:szCs w:val="20"/>
      <w:lang w:val="en-GB" w:eastAsia="zh-CN"/>
    </w:rPr>
  </w:style>
  <w:style w:type="paragraph" w:customStyle="1" w:styleId="34">
    <w:name w:val="TAL"/>
    <w:basedOn w:val="1"/>
    <w:link w:val="47"/>
    <w:qFormat/>
    <w:uiPriority w:val="0"/>
    <w:pPr>
      <w:keepNext/>
      <w:keepLines/>
    </w:pPr>
    <w:rPr>
      <w:rFonts w:ascii="Arial" w:hAnsi="Arial" w:eastAsia="宋体"/>
      <w:sz w:val="18"/>
      <w:szCs w:val="20"/>
      <w:lang w:val="en-GB"/>
    </w:rPr>
  </w:style>
  <w:style w:type="paragraph" w:customStyle="1" w:styleId="35">
    <w:name w:val="TH"/>
    <w:basedOn w:val="1"/>
    <w:link w:val="36"/>
    <w:qFormat/>
    <w:uiPriority w:val="0"/>
    <w:pPr>
      <w:keepNext/>
      <w:keepLines/>
      <w:spacing w:before="60" w:after="180"/>
      <w:jc w:val="center"/>
    </w:pPr>
    <w:rPr>
      <w:rFonts w:ascii="Arial" w:hAnsi="Arial" w:eastAsia="宋体"/>
      <w:b/>
      <w:szCs w:val="20"/>
      <w:lang w:val="en-GB" w:eastAsia="zh-CN"/>
    </w:rPr>
  </w:style>
  <w:style w:type="character" w:customStyle="1" w:styleId="36">
    <w:name w:val="TH Char"/>
    <w:link w:val="35"/>
    <w:qFormat/>
    <w:uiPriority w:val="0"/>
    <w:rPr>
      <w:rFonts w:ascii="Arial" w:hAnsi="Arial" w:eastAsia="宋体"/>
      <w:b/>
      <w:lang w:val="en-GB" w:eastAsia="zh-CN"/>
    </w:rPr>
  </w:style>
  <w:style w:type="character" w:customStyle="1" w:styleId="37">
    <w:name w:val="TAC Char"/>
    <w:link w:val="33"/>
    <w:qFormat/>
    <w:uiPriority w:val="0"/>
    <w:rPr>
      <w:rFonts w:ascii="Arial" w:hAnsi="Arial" w:eastAsia="宋体"/>
      <w:sz w:val="18"/>
      <w:lang w:val="en-GB" w:eastAsia="zh-CN"/>
    </w:rPr>
  </w:style>
  <w:style w:type="character" w:customStyle="1" w:styleId="38">
    <w:name w:val="TAH Car"/>
    <w:link w:val="32"/>
    <w:qFormat/>
    <w:uiPriority w:val="0"/>
    <w:rPr>
      <w:rFonts w:ascii="Arial" w:hAnsi="Arial" w:eastAsia="宋体"/>
      <w:b/>
      <w:sz w:val="18"/>
      <w:lang w:val="en-GB" w:eastAsia="zh-CN"/>
    </w:rPr>
  </w:style>
  <w:style w:type="paragraph" w:customStyle="1" w:styleId="39">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0">
    <w:name w:val="TAR"/>
    <w:basedOn w:val="1"/>
    <w:qFormat/>
    <w:uiPriority w:val="0"/>
    <w:pPr>
      <w:keepNext/>
      <w:keepLines/>
      <w:jc w:val="right"/>
    </w:pPr>
    <w:rPr>
      <w:rFonts w:ascii="Arial" w:hAnsi="Arial" w:eastAsia="宋体"/>
      <w:sz w:val="18"/>
      <w:szCs w:val="20"/>
      <w:lang w:val="en-GB"/>
    </w:rPr>
  </w:style>
  <w:style w:type="paragraph" w:customStyle="1" w:styleId="41">
    <w:name w:val="RAN4 proposal"/>
    <w:basedOn w:val="5"/>
    <w:next w:val="1"/>
    <w:link w:val="42"/>
    <w:qFormat/>
    <w:uiPriority w:val="0"/>
    <w:pPr>
      <w:numPr>
        <w:ilvl w:val="0"/>
        <w:numId w:val="2"/>
      </w:numPr>
      <w:spacing w:after="200"/>
      <w:ind w:left="0" w:firstLine="0"/>
    </w:pPr>
    <w:rPr>
      <w:rFonts w:ascii="Times New Roman" w:hAnsi="Times New Roman" w:eastAsia="宋体"/>
      <w:b/>
      <w:iCs/>
      <w:szCs w:val="18"/>
    </w:rPr>
  </w:style>
  <w:style w:type="character" w:customStyle="1" w:styleId="42">
    <w:name w:val="RAN4 proposal Char"/>
    <w:link w:val="41"/>
    <w:qFormat/>
    <w:uiPriority w:val="0"/>
    <w:rPr>
      <w:rFonts w:ascii="Times New Roman" w:hAnsi="Times New Roman"/>
      <w:b/>
      <w:iCs/>
      <w:szCs w:val="18"/>
      <w:lang w:eastAsia="en-US"/>
    </w:rPr>
  </w:style>
  <w:style w:type="character" w:customStyle="1" w:styleId="43">
    <w:name w:val="List Paragraph Char"/>
    <w:link w:val="27"/>
    <w:qFormat/>
    <w:uiPriority w:val="34"/>
    <w:rPr>
      <w:kern w:val="2"/>
      <w:sz w:val="21"/>
      <w:szCs w:val="22"/>
    </w:rPr>
  </w:style>
  <w:style w:type="character" w:customStyle="1" w:styleId="44">
    <w:name w:val="ZGSM"/>
    <w:qFormat/>
    <w:uiPriority w:val="0"/>
  </w:style>
  <w:style w:type="character" w:customStyle="1" w:styleId="45">
    <w:name w:val="Date Char"/>
    <w:link w:val="11"/>
    <w:semiHidden/>
    <w:qFormat/>
    <w:uiPriority w:val="99"/>
    <w:rPr>
      <w:rFonts w:ascii="Times New Roman" w:hAnsi="Times New Roman" w:eastAsia="Times New Roman"/>
      <w:szCs w:val="24"/>
      <w:lang w:eastAsia="en-US"/>
    </w:rPr>
  </w:style>
  <w:style w:type="paragraph" w:customStyle="1" w:styleId="46">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7">
    <w:name w:val="TAL Char"/>
    <w:link w:val="34"/>
    <w:qFormat/>
    <w:uiPriority w:val="0"/>
    <w:rPr>
      <w:rFonts w:ascii="Arial" w:hAnsi="Arial"/>
      <w:sz w:val="18"/>
      <w:lang w:val="en-GB" w:eastAsia="en-US"/>
    </w:rPr>
  </w:style>
  <w:style w:type="character" w:customStyle="1" w:styleId="48">
    <w:name w:val="Heading 3 Char"/>
    <w:link w:val="4"/>
    <w:qFormat/>
    <w:uiPriority w:val="9"/>
    <w:rPr>
      <w:rFonts w:ascii="Times New Roman" w:hAnsi="Times New Roman" w:eastAsia="Times New Roman"/>
      <w:b/>
      <w:bCs/>
      <w:sz w:val="32"/>
      <w:szCs w:val="32"/>
      <w:lang w:eastAsia="en-US"/>
    </w:rPr>
  </w:style>
  <w:style w:type="character" w:customStyle="1" w:styleId="49">
    <w:name w:val="TAL Car"/>
    <w:qFormat/>
    <w:uiPriority w:val="0"/>
    <w:rPr>
      <w:rFonts w:ascii="Arial" w:hAnsi="Arial" w:eastAsia="Times New Roman" w:cs="Times New Roman"/>
      <w:kern w:val="0"/>
      <w:sz w:val="18"/>
      <w:szCs w:val="20"/>
      <w:lang w:val="en-GB" w:eastAsia="ko-KR"/>
    </w:rPr>
  </w:style>
  <w:style w:type="paragraph" w:customStyle="1" w:styleId="50">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1">
    <w:name w:val="TAN"/>
    <w:basedOn w:val="34"/>
    <w:qFormat/>
    <w:uiPriority w:val="0"/>
    <w:pPr>
      <w:ind w:left="851" w:hanging="851"/>
    </w:pPr>
  </w:style>
  <w:style w:type="character" w:customStyle="1" w:styleId="52">
    <w:name w:val="normaltextrun"/>
    <w:basedOn w:val="18"/>
    <w:qFormat/>
    <w:uiPriority w:val="0"/>
  </w:style>
  <w:style w:type="character" w:customStyle="1" w:styleId="53">
    <w:name w:val="eop"/>
    <w:basedOn w:val="18"/>
    <w:qFormat/>
    <w:uiPriority w:val="0"/>
  </w:style>
  <w:style w:type="paragraph" w:customStyle="1" w:styleId="54">
    <w:name w:val="paragraph"/>
    <w:basedOn w:val="1"/>
    <w:qFormat/>
    <w:uiPriority w:val="0"/>
    <w:pPr>
      <w:spacing w:before="100" w:beforeAutospacing="1" w:after="100" w:afterAutospacing="1"/>
    </w:pPr>
    <w:rPr>
      <w:rFonts w:eastAsia="Times New Roman"/>
      <w:sz w:val="24"/>
      <w:szCs w:val="24"/>
    </w:rPr>
  </w:style>
  <w:style w:type="paragraph" w:customStyle="1" w:styleId="55">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56">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0</TotalTime>
  <ScaleCrop>false</ScaleCrop>
  <LinksUpToDate>false</LinksUpToDate>
  <CharactersWithSpaces>3669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Chenchen from ZTE</cp:lastModifiedBy>
  <cp:lastPrinted>2015-02-02T11:17:00Z</cp:lastPrinted>
  <dcterms:modified xsi:type="dcterms:W3CDTF">2022-09-30T14:07:04Z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